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CE09AF">
      <w:pPr>
        <w:spacing w:line="560" w:lineRule="exact"/>
        <w:jc w:val="center"/>
        <w:rPr>
          <w:rFonts w:eastAsia="方正小标宋简体"/>
          <w:sz w:val="44"/>
          <w:szCs w:val="44"/>
        </w:rPr>
      </w:pPr>
      <w:r>
        <w:rPr>
          <w:rFonts w:hint="eastAsia" w:eastAsia="方正小标宋简体"/>
          <w:sz w:val="44"/>
          <w:szCs w:val="44"/>
        </w:rPr>
        <w:t>肥东县</w:t>
      </w:r>
      <w:r>
        <w:rPr>
          <w:rFonts w:hint="eastAsia" w:eastAsia="方正小标宋简体"/>
          <w:sz w:val="44"/>
          <w:szCs w:val="44"/>
          <w:lang w:eastAsia="zh-CN"/>
        </w:rPr>
        <w:t>红十字会</w:t>
      </w:r>
      <w:r>
        <w:rPr>
          <w:rFonts w:hint="eastAsia" w:eastAsia="方正小标宋简体"/>
          <w:sz w:val="44"/>
          <w:szCs w:val="44"/>
        </w:rPr>
        <w:t>2025年度一般公共预算及政府性基金预算财政拨款“</w:t>
      </w:r>
      <w:r>
        <w:rPr>
          <w:rFonts w:eastAsia="方正小标宋简体"/>
          <w:sz w:val="44"/>
          <w:szCs w:val="44"/>
        </w:rPr>
        <w:t>三公</w:t>
      </w:r>
      <w:r>
        <w:rPr>
          <w:rFonts w:hint="eastAsia" w:eastAsia="方正小标宋简体"/>
          <w:sz w:val="44"/>
          <w:szCs w:val="44"/>
        </w:rPr>
        <w:t>”</w:t>
      </w:r>
      <w:r>
        <w:rPr>
          <w:rFonts w:eastAsia="方正小标宋简体"/>
          <w:sz w:val="44"/>
          <w:szCs w:val="44"/>
        </w:rPr>
        <w:t>经费</w:t>
      </w:r>
      <w:r>
        <w:rPr>
          <w:rFonts w:hint="eastAsia" w:eastAsia="方正小标宋简体"/>
          <w:sz w:val="44"/>
          <w:szCs w:val="44"/>
        </w:rPr>
        <w:t>支出决算情况说明</w:t>
      </w:r>
    </w:p>
    <w:p w14:paraId="46398607">
      <w:pPr>
        <w:rPr>
          <w:szCs w:val="28"/>
        </w:rPr>
      </w:pPr>
    </w:p>
    <w:p w14:paraId="0ECD790C">
      <w:pPr>
        <w:ind w:firstLine="643" w:firstLineChars="200"/>
        <w:rPr>
          <w:rFonts w:eastAsia="黑体"/>
          <w:color w:val="auto"/>
          <w:szCs w:val="36"/>
        </w:rPr>
      </w:pPr>
      <w:r>
        <w:rPr>
          <w:rFonts w:hint="eastAsia" w:eastAsia="黑体"/>
          <w:color w:val="auto"/>
          <w:szCs w:val="36"/>
        </w:rPr>
        <w:t>一、2025年度一般公共预算及政府性基金预算财政拨款“三公”经费支出决算表</w:t>
      </w:r>
    </w:p>
    <w:p w14:paraId="4B34AA83">
      <w:pPr>
        <w:rPr>
          <w:rFonts w:eastAsia="宋体"/>
          <w:color w:val="auto"/>
          <w:sz w:val="21"/>
          <w:szCs w:val="21"/>
        </w:rPr>
      </w:pPr>
      <w:r>
        <w:rPr>
          <w:rFonts w:hint="eastAsia" w:eastAsia="宋体"/>
          <w:color w:val="auto"/>
          <w:sz w:val="21"/>
          <w:szCs w:val="21"/>
        </w:rPr>
        <w:t>编制单位</w:t>
      </w:r>
      <w:r>
        <w:rPr>
          <w:rFonts w:hint="eastAsia" w:eastAsia="宋体"/>
          <w:color w:val="auto"/>
          <w:sz w:val="21"/>
          <w:szCs w:val="21"/>
          <w:lang w:eastAsia="zh-CN"/>
        </w:rPr>
        <w:t>：肥东县红十字会</w:t>
      </w:r>
      <w:r>
        <w:rPr>
          <w:rFonts w:hint="eastAsia" w:eastAsia="宋体"/>
          <w:color w:val="auto"/>
          <w:sz w:val="21"/>
          <w:szCs w:val="21"/>
        </w:rPr>
        <w:t xml:space="preserve">              </w:t>
      </w:r>
      <w:r>
        <w:rPr>
          <w:rFonts w:hint="eastAsia" w:eastAsia="宋体"/>
          <w:color w:val="auto"/>
          <w:sz w:val="21"/>
          <w:szCs w:val="21"/>
          <w:lang w:val="en-US" w:eastAsia="zh-CN"/>
        </w:rPr>
        <w:t xml:space="preserve">     </w:t>
      </w:r>
      <w:r>
        <w:rPr>
          <w:rFonts w:hint="eastAsia" w:eastAsia="宋体"/>
          <w:color w:val="auto"/>
          <w:sz w:val="21"/>
          <w:szCs w:val="21"/>
        </w:rPr>
        <w:t xml:space="preserve">                           金额单位：万元</w:t>
      </w:r>
    </w:p>
    <w:tbl>
      <w:tblPr>
        <w:tblStyle w:val="3"/>
        <w:tblW w:w="507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961"/>
        <w:gridCol w:w="688"/>
        <w:gridCol w:w="1405"/>
        <w:gridCol w:w="1660"/>
        <w:gridCol w:w="642"/>
        <w:gridCol w:w="1337"/>
        <w:gridCol w:w="1497"/>
      </w:tblGrid>
      <w:tr w14:paraId="27B9C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1067" w:type="pct"/>
            <w:vMerge w:val="restart"/>
            <w:noWrap w:val="0"/>
            <w:vAlign w:val="center"/>
          </w:tcPr>
          <w:p w14:paraId="3200E801">
            <w:pPr>
              <w:spacing w:line="0" w:lineRule="atLeast"/>
              <w:jc w:val="center"/>
              <w:rPr>
                <w:rFonts w:eastAsia="宋体" w:cs="Arial"/>
                <w:color w:val="auto"/>
                <w:kern w:val="0"/>
                <w:sz w:val="21"/>
                <w:szCs w:val="21"/>
              </w:rPr>
            </w:pPr>
            <w:r>
              <w:rPr>
                <w:rFonts w:hint="eastAsia" w:eastAsia="宋体" w:cs="Arial"/>
                <w:color w:val="auto"/>
                <w:kern w:val="0"/>
                <w:sz w:val="21"/>
                <w:szCs w:val="21"/>
              </w:rPr>
              <w:t>项目</w:t>
            </w:r>
          </w:p>
        </w:tc>
        <w:tc>
          <w:tcPr>
            <w:tcW w:w="2041" w:type="pct"/>
            <w:gridSpan w:val="3"/>
            <w:noWrap w:val="0"/>
            <w:vAlign w:val="center"/>
          </w:tcPr>
          <w:p w14:paraId="24999042">
            <w:pPr>
              <w:spacing w:line="0" w:lineRule="atLeast"/>
              <w:jc w:val="center"/>
              <w:rPr>
                <w:rFonts w:eastAsia="宋体" w:cs="Arial"/>
                <w:color w:val="auto"/>
                <w:kern w:val="0"/>
                <w:sz w:val="21"/>
                <w:szCs w:val="21"/>
              </w:rPr>
            </w:pPr>
            <w:r>
              <w:rPr>
                <w:rFonts w:hint="eastAsia" w:eastAsia="宋体" w:cs="Arial"/>
                <w:color w:val="auto"/>
                <w:kern w:val="0"/>
                <w:sz w:val="21"/>
                <w:szCs w:val="21"/>
              </w:rPr>
              <w:t>预算数</w:t>
            </w:r>
          </w:p>
        </w:tc>
        <w:tc>
          <w:tcPr>
            <w:tcW w:w="1890" w:type="pct"/>
            <w:gridSpan w:val="3"/>
            <w:noWrap w:val="0"/>
            <w:vAlign w:val="center"/>
          </w:tcPr>
          <w:p w14:paraId="56A8F7D4">
            <w:pPr>
              <w:spacing w:line="0" w:lineRule="atLeast"/>
              <w:jc w:val="center"/>
              <w:rPr>
                <w:rFonts w:eastAsia="宋体" w:cs="Arial"/>
                <w:color w:val="auto"/>
                <w:kern w:val="0"/>
                <w:sz w:val="21"/>
                <w:szCs w:val="21"/>
              </w:rPr>
            </w:pPr>
            <w:r>
              <w:rPr>
                <w:rFonts w:hint="eastAsia" w:eastAsia="宋体" w:cs="Arial"/>
                <w:color w:val="auto"/>
                <w:kern w:val="0"/>
                <w:sz w:val="21"/>
                <w:szCs w:val="21"/>
              </w:rPr>
              <w:t>决算数</w:t>
            </w:r>
          </w:p>
        </w:tc>
      </w:tr>
      <w:tr w14:paraId="2A305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1067" w:type="pct"/>
            <w:vMerge w:val="continue"/>
            <w:noWrap w:val="0"/>
            <w:vAlign w:val="center"/>
          </w:tcPr>
          <w:p w14:paraId="2CF1098D">
            <w:pPr>
              <w:spacing w:line="0" w:lineRule="atLeast"/>
              <w:jc w:val="center"/>
              <w:rPr>
                <w:rFonts w:eastAsia="宋体" w:cs="Arial"/>
                <w:color w:val="auto"/>
                <w:kern w:val="0"/>
                <w:sz w:val="21"/>
                <w:szCs w:val="21"/>
              </w:rPr>
            </w:pPr>
          </w:p>
        </w:tc>
        <w:tc>
          <w:tcPr>
            <w:tcW w:w="374" w:type="pct"/>
            <w:noWrap w:val="0"/>
            <w:vAlign w:val="center"/>
          </w:tcPr>
          <w:p w14:paraId="32609BF7">
            <w:pPr>
              <w:spacing w:line="0" w:lineRule="atLeast"/>
              <w:jc w:val="center"/>
              <w:rPr>
                <w:rFonts w:eastAsia="宋体" w:cs="Arial"/>
                <w:color w:val="auto"/>
                <w:kern w:val="0"/>
                <w:sz w:val="21"/>
                <w:szCs w:val="21"/>
              </w:rPr>
            </w:pPr>
            <w:r>
              <w:rPr>
                <w:rFonts w:hint="eastAsia" w:eastAsia="宋体" w:cs="Arial"/>
                <w:color w:val="auto"/>
                <w:kern w:val="0"/>
                <w:sz w:val="21"/>
                <w:szCs w:val="21"/>
              </w:rPr>
              <w:t>合计</w:t>
            </w:r>
          </w:p>
        </w:tc>
        <w:tc>
          <w:tcPr>
            <w:tcW w:w="764" w:type="pct"/>
            <w:noWrap w:val="0"/>
            <w:vAlign w:val="center"/>
          </w:tcPr>
          <w:p w14:paraId="2BD9E49E">
            <w:pPr>
              <w:spacing w:line="0" w:lineRule="atLeast"/>
              <w:jc w:val="center"/>
              <w:rPr>
                <w:rFonts w:hint="eastAsia" w:eastAsia="宋体" w:cs="Arial"/>
                <w:color w:val="auto"/>
                <w:kern w:val="0"/>
                <w:sz w:val="21"/>
                <w:szCs w:val="21"/>
              </w:rPr>
            </w:pPr>
            <w:r>
              <w:rPr>
                <w:rFonts w:hint="eastAsia" w:eastAsia="宋体" w:cs="Arial"/>
                <w:color w:val="auto"/>
                <w:kern w:val="0"/>
                <w:sz w:val="21"/>
                <w:szCs w:val="21"/>
              </w:rPr>
              <w:t>一般公共预算财政拨款</w:t>
            </w:r>
          </w:p>
        </w:tc>
        <w:tc>
          <w:tcPr>
            <w:tcW w:w="902" w:type="pct"/>
            <w:noWrap w:val="0"/>
            <w:vAlign w:val="center"/>
          </w:tcPr>
          <w:p w14:paraId="2BD8BB69">
            <w:pPr>
              <w:spacing w:line="0" w:lineRule="atLeast"/>
              <w:jc w:val="center"/>
              <w:rPr>
                <w:rFonts w:hint="eastAsia" w:eastAsia="宋体" w:cs="Arial"/>
                <w:color w:val="auto"/>
                <w:kern w:val="0"/>
                <w:sz w:val="21"/>
                <w:szCs w:val="21"/>
              </w:rPr>
            </w:pPr>
            <w:r>
              <w:rPr>
                <w:rFonts w:hint="eastAsia" w:eastAsia="宋体" w:cs="Arial"/>
                <w:color w:val="auto"/>
                <w:kern w:val="0"/>
                <w:sz w:val="21"/>
                <w:szCs w:val="21"/>
              </w:rPr>
              <w:t>政府性基金</w:t>
            </w:r>
          </w:p>
          <w:p w14:paraId="6361531D">
            <w:pPr>
              <w:spacing w:line="0" w:lineRule="atLeast"/>
              <w:jc w:val="center"/>
              <w:rPr>
                <w:rFonts w:hint="eastAsia" w:eastAsia="宋体" w:cs="Arial"/>
                <w:color w:val="auto"/>
                <w:kern w:val="0"/>
                <w:sz w:val="21"/>
                <w:szCs w:val="21"/>
              </w:rPr>
            </w:pPr>
            <w:r>
              <w:rPr>
                <w:rFonts w:hint="eastAsia" w:eastAsia="宋体" w:cs="Arial"/>
                <w:color w:val="auto"/>
                <w:kern w:val="0"/>
                <w:sz w:val="21"/>
                <w:szCs w:val="21"/>
              </w:rPr>
              <w:t>预算财政拨款</w:t>
            </w:r>
          </w:p>
        </w:tc>
        <w:tc>
          <w:tcPr>
            <w:tcW w:w="349" w:type="pct"/>
            <w:noWrap w:val="0"/>
            <w:vAlign w:val="center"/>
          </w:tcPr>
          <w:p w14:paraId="456D7428">
            <w:pPr>
              <w:spacing w:line="0" w:lineRule="atLeast"/>
              <w:jc w:val="center"/>
              <w:rPr>
                <w:rFonts w:eastAsia="宋体" w:cs="Arial"/>
                <w:color w:val="auto"/>
                <w:kern w:val="0"/>
                <w:sz w:val="21"/>
                <w:szCs w:val="21"/>
              </w:rPr>
            </w:pPr>
            <w:r>
              <w:rPr>
                <w:rFonts w:hint="eastAsia" w:eastAsia="宋体" w:cs="Arial"/>
                <w:color w:val="auto"/>
                <w:kern w:val="0"/>
                <w:sz w:val="21"/>
                <w:szCs w:val="21"/>
              </w:rPr>
              <w:t>合计</w:t>
            </w:r>
          </w:p>
        </w:tc>
        <w:tc>
          <w:tcPr>
            <w:tcW w:w="727" w:type="pct"/>
            <w:noWrap w:val="0"/>
            <w:vAlign w:val="center"/>
          </w:tcPr>
          <w:p w14:paraId="2D5A1D79">
            <w:pPr>
              <w:spacing w:line="0" w:lineRule="atLeast"/>
              <w:jc w:val="center"/>
              <w:rPr>
                <w:rFonts w:hint="eastAsia" w:eastAsia="宋体" w:cs="Arial"/>
                <w:color w:val="auto"/>
                <w:kern w:val="0"/>
                <w:sz w:val="21"/>
                <w:szCs w:val="21"/>
              </w:rPr>
            </w:pPr>
            <w:r>
              <w:rPr>
                <w:rFonts w:hint="eastAsia" w:eastAsia="宋体" w:cs="Arial"/>
                <w:color w:val="auto"/>
                <w:kern w:val="0"/>
                <w:sz w:val="21"/>
                <w:szCs w:val="21"/>
              </w:rPr>
              <w:t>一般公共预</w:t>
            </w:r>
          </w:p>
          <w:p w14:paraId="586BD159">
            <w:pPr>
              <w:spacing w:line="0" w:lineRule="atLeast"/>
              <w:jc w:val="center"/>
              <w:rPr>
                <w:rFonts w:hint="eastAsia" w:eastAsia="宋体" w:cs="Arial"/>
                <w:color w:val="auto"/>
                <w:kern w:val="0"/>
                <w:sz w:val="21"/>
                <w:szCs w:val="21"/>
              </w:rPr>
            </w:pPr>
            <w:r>
              <w:rPr>
                <w:rFonts w:hint="eastAsia" w:eastAsia="宋体" w:cs="Arial"/>
                <w:color w:val="auto"/>
                <w:kern w:val="0"/>
                <w:sz w:val="21"/>
                <w:szCs w:val="21"/>
              </w:rPr>
              <w:t>算财政拨款</w:t>
            </w:r>
          </w:p>
        </w:tc>
        <w:tc>
          <w:tcPr>
            <w:tcW w:w="813" w:type="pct"/>
            <w:noWrap w:val="0"/>
            <w:vAlign w:val="center"/>
          </w:tcPr>
          <w:p w14:paraId="12407E94">
            <w:pPr>
              <w:spacing w:line="0" w:lineRule="atLeast"/>
              <w:jc w:val="center"/>
              <w:rPr>
                <w:rFonts w:hint="eastAsia" w:eastAsia="宋体" w:cs="Arial"/>
                <w:color w:val="auto"/>
                <w:kern w:val="0"/>
                <w:sz w:val="21"/>
                <w:szCs w:val="21"/>
              </w:rPr>
            </w:pPr>
            <w:r>
              <w:rPr>
                <w:rFonts w:hint="eastAsia" w:eastAsia="宋体" w:cs="Arial"/>
                <w:color w:val="auto"/>
                <w:kern w:val="0"/>
                <w:sz w:val="21"/>
                <w:szCs w:val="21"/>
              </w:rPr>
              <w:t>政府性基金预算财政拨款</w:t>
            </w:r>
          </w:p>
        </w:tc>
      </w:tr>
      <w:tr w14:paraId="45CA2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1067" w:type="pct"/>
            <w:noWrap w:val="0"/>
            <w:vAlign w:val="center"/>
          </w:tcPr>
          <w:p w14:paraId="74BC8240">
            <w:pPr>
              <w:spacing w:line="0" w:lineRule="atLeast"/>
              <w:jc w:val="center"/>
              <w:rPr>
                <w:rFonts w:eastAsia="宋体" w:cs="Arial"/>
                <w:color w:val="auto"/>
                <w:kern w:val="0"/>
                <w:sz w:val="21"/>
                <w:szCs w:val="21"/>
              </w:rPr>
            </w:pPr>
            <w:r>
              <w:rPr>
                <w:rFonts w:hint="eastAsia" w:eastAsia="宋体" w:cs="Arial"/>
                <w:color w:val="auto"/>
                <w:kern w:val="0"/>
                <w:sz w:val="21"/>
                <w:szCs w:val="21"/>
              </w:rPr>
              <w:t>因公出国（境）费</w:t>
            </w:r>
          </w:p>
        </w:tc>
        <w:tc>
          <w:tcPr>
            <w:tcW w:w="374" w:type="pct"/>
            <w:noWrap w:val="0"/>
            <w:vAlign w:val="center"/>
          </w:tcPr>
          <w:p w14:paraId="0FF025C7">
            <w:pPr>
              <w:spacing w:line="0" w:lineRule="atLeast"/>
              <w:jc w:val="center"/>
              <w:rPr>
                <w:rFonts w:eastAsia="宋体" w:cs="Arial"/>
                <w:color w:val="auto"/>
                <w:kern w:val="0"/>
                <w:sz w:val="21"/>
                <w:szCs w:val="21"/>
              </w:rPr>
            </w:pPr>
          </w:p>
        </w:tc>
        <w:tc>
          <w:tcPr>
            <w:tcW w:w="764" w:type="pct"/>
            <w:noWrap w:val="0"/>
            <w:vAlign w:val="center"/>
          </w:tcPr>
          <w:p w14:paraId="7E3B3C17">
            <w:pPr>
              <w:spacing w:line="0" w:lineRule="atLeast"/>
              <w:jc w:val="center"/>
              <w:rPr>
                <w:rFonts w:eastAsia="宋体" w:cs="Arial"/>
                <w:color w:val="auto"/>
                <w:kern w:val="0"/>
                <w:sz w:val="21"/>
                <w:szCs w:val="21"/>
              </w:rPr>
            </w:pPr>
          </w:p>
        </w:tc>
        <w:tc>
          <w:tcPr>
            <w:tcW w:w="902" w:type="pct"/>
            <w:noWrap w:val="0"/>
            <w:vAlign w:val="center"/>
          </w:tcPr>
          <w:p w14:paraId="01C99467">
            <w:pPr>
              <w:spacing w:line="0" w:lineRule="atLeast"/>
              <w:jc w:val="center"/>
              <w:rPr>
                <w:rFonts w:eastAsia="宋体" w:cs="Arial"/>
                <w:color w:val="auto"/>
                <w:kern w:val="0"/>
                <w:sz w:val="21"/>
                <w:szCs w:val="21"/>
              </w:rPr>
            </w:pPr>
          </w:p>
        </w:tc>
        <w:tc>
          <w:tcPr>
            <w:tcW w:w="349" w:type="pct"/>
            <w:noWrap w:val="0"/>
            <w:vAlign w:val="center"/>
          </w:tcPr>
          <w:p w14:paraId="356667B0">
            <w:pPr>
              <w:spacing w:line="0" w:lineRule="atLeast"/>
              <w:jc w:val="center"/>
              <w:rPr>
                <w:rFonts w:hint="default" w:eastAsia="宋体" w:cs="Arial"/>
                <w:color w:val="auto"/>
                <w:kern w:val="0"/>
                <w:sz w:val="21"/>
                <w:szCs w:val="21"/>
                <w:lang w:val="en-US" w:eastAsia="zh-CN"/>
              </w:rPr>
            </w:pPr>
            <w:r>
              <w:rPr>
                <w:rFonts w:hint="eastAsia" w:eastAsia="宋体" w:cs="Arial"/>
                <w:color w:val="auto"/>
                <w:kern w:val="0"/>
                <w:sz w:val="21"/>
                <w:szCs w:val="21"/>
                <w:lang w:val="en-US" w:eastAsia="zh-CN"/>
              </w:rPr>
              <w:t xml:space="preserve"> </w:t>
            </w:r>
          </w:p>
        </w:tc>
        <w:tc>
          <w:tcPr>
            <w:tcW w:w="727" w:type="pct"/>
            <w:noWrap w:val="0"/>
            <w:vAlign w:val="center"/>
          </w:tcPr>
          <w:p w14:paraId="74D53EBE">
            <w:pPr>
              <w:spacing w:line="0" w:lineRule="atLeast"/>
              <w:jc w:val="center"/>
              <w:rPr>
                <w:rFonts w:hint="default" w:eastAsia="宋体" w:cs="Arial"/>
                <w:color w:val="auto"/>
                <w:kern w:val="0"/>
                <w:sz w:val="21"/>
                <w:szCs w:val="21"/>
                <w:lang w:val="en-US" w:eastAsia="zh-CN"/>
              </w:rPr>
            </w:pPr>
            <w:r>
              <w:rPr>
                <w:rFonts w:hint="eastAsia" w:eastAsia="宋体" w:cs="Arial"/>
                <w:color w:val="auto"/>
                <w:kern w:val="0"/>
                <w:sz w:val="21"/>
                <w:szCs w:val="21"/>
                <w:lang w:val="en-US" w:eastAsia="zh-CN"/>
              </w:rPr>
              <w:t xml:space="preserve"> </w:t>
            </w:r>
          </w:p>
        </w:tc>
        <w:tc>
          <w:tcPr>
            <w:tcW w:w="813" w:type="pct"/>
            <w:noWrap w:val="0"/>
            <w:vAlign w:val="center"/>
          </w:tcPr>
          <w:p w14:paraId="3A62D987">
            <w:pPr>
              <w:spacing w:line="0" w:lineRule="atLeast"/>
              <w:jc w:val="center"/>
              <w:rPr>
                <w:rFonts w:eastAsia="宋体" w:cs="Arial"/>
                <w:color w:val="auto"/>
                <w:kern w:val="0"/>
                <w:sz w:val="21"/>
                <w:szCs w:val="21"/>
              </w:rPr>
            </w:pPr>
          </w:p>
        </w:tc>
      </w:tr>
      <w:tr w14:paraId="073C0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1067" w:type="pct"/>
            <w:noWrap w:val="0"/>
            <w:vAlign w:val="center"/>
          </w:tcPr>
          <w:p w14:paraId="4C088D36">
            <w:pPr>
              <w:spacing w:line="0" w:lineRule="atLeast"/>
              <w:rPr>
                <w:rFonts w:eastAsia="宋体" w:cs="Arial"/>
                <w:color w:val="auto"/>
                <w:kern w:val="0"/>
                <w:sz w:val="21"/>
                <w:szCs w:val="21"/>
              </w:rPr>
            </w:pPr>
            <w:r>
              <w:rPr>
                <w:rFonts w:hint="eastAsia" w:eastAsia="宋体" w:cs="Arial"/>
                <w:color w:val="auto"/>
                <w:kern w:val="0"/>
                <w:sz w:val="21"/>
                <w:szCs w:val="21"/>
              </w:rPr>
              <w:t>公务接待费</w:t>
            </w:r>
          </w:p>
        </w:tc>
        <w:tc>
          <w:tcPr>
            <w:tcW w:w="374" w:type="pct"/>
            <w:noWrap w:val="0"/>
            <w:vAlign w:val="center"/>
          </w:tcPr>
          <w:p w14:paraId="4109DD49">
            <w:pPr>
              <w:spacing w:line="0" w:lineRule="atLeast"/>
              <w:jc w:val="center"/>
              <w:rPr>
                <w:rFonts w:hint="default" w:eastAsia="宋体" w:cs="Arial"/>
                <w:color w:val="auto"/>
                <w:kern w:val="0"/>
                <w:sz w:val="21"/>
                <w:szCs w:val="21"/>
                <w:lang w:val="en-US" w:eastAsia="zh-CN"/>
              </w:rPr>
            </w:pPr>
            <w:r>
              <w:rPr>
                <w:rFonts w:hint="eastAsia" w:eastAsia="宋体" w:cs="Arial"/>
                <w:color w:val="auto"/>
                <w:kern w:val="0"/>
                <w:sz w:val="21"/>
                <w:szCs w:val="21"/>
                <w:lang w:val="en-US" w:eastAsia="zh-CN"/>
              </w:rPr>
              <w:t>1.00</w:t>
            </w:r>
          </w:p>
        </w:tc>
        <w:tc>
          <w:tcPr>
            <w:tcW w:w="764" w:type="pct"/>
            <w:noWrap w:val="0"/>
            <w:vAlign w:val="center"/>
          </w:tcPr>
          <w:p w14:paraId="0B3E3DB3">
            <w:pPr>
              <w:spacing w:line="0" w:lineRule="atLeast"/>
              <w:jc w:val="center"/>
              <w:rPr>
                <w:rFonts w:hint="default" w:eastAsia="宋体" w:cs="Arial"/>
                <w:color w:val="auto"/>
                <w:kern w:val="0"/>
                <w:sz w:val="21"/>
                <w:szCs w:val="21"/>
                <w:lang w:val="en-US" w:eastAsia="zh-CN"/>
              </w:rPr>
            </w:pPr>
            <w:r>
              <w:rPr>
                <w:rFonts w:hint="eastAsia" w:eastAsia="宋体" w:cs="Arial"/>
                <w:color w:val="auto"/>
                <w:kern w:val="0"/>
                <w:sz w:val="21"/>
                <w:szCs w:val="21"/>
                <w:lang w:val="en-US" w:eastAsia="zh-CN"/>
              </w:rPr>
              <w:t>1.00</w:t>
            </w:r>
          </w:p>
        </w:tc>
        <w:tc>
          <w:tcPr>
            <w:tcW w:w="902" w:type="pct"/>
            <w:noWrap w:val="0"/>
            <w:vAlign w:val="center"/>
          </w:tcPr>
          <w:p w14:paraId="1F85E349">
            <w:pPr>
              <w:spacing w:line="0" w:lineRule="atLeast"/>
              <w:jc w:val="center"/>
              <w:rPr>
                <w:rFonts w:eastAsia="宋体" w:cs="Arial"/>
                <w:color w:val="auto"/>
                <w:kern w:val="0"/>
                <w:sz w:val="21"/>
                <w:szCs w:val="21"/>
              </w:rPr>
            </w:pPr>
          </w:p>
        </w:tc>
        <w:tc>
          <w:tcPr>
            <w:tcW w:w="349" w:type="pct"/>
            <w:noWrap w:val="0"/>
            <w:vAlign w:val="center"/>
          </w:tcPr>
          <w:p w14:paraId="500FA09C">
            <w:pPr>
              <w:spacing w:line="0" w:lineRule="atLeast"/>
              <w:jc w:val="center"/>
              <w:rPr>
                <w:rFonts w:hint="default" w:eastAsia="宋体" w:cs="Arial"/>
                <w:color w:val="auto"/>
                <w:kern w:val="0"/>
                <w:sz w:val="21"/>
                <w:szCs w:val="21"/>
                <w:lang w:val="en-US" w:eastAsia="zh-CN"/>
              </w:rPr>
            </w:pPr>
            <w:r>
              <w:rPr>
                <w:rFonts w:hint="eastAsia" w:eastAsia="宋体" w:cs="Arial"/>
                <w:color w:val="auto"/>
                <w:kern w:val="0"/>
                <w:sz w:val="21"/>
                <w:szCs w:val="21"/>
                <w:lang w:val="en-US" w:eastAsia="zh-CN"/>
              </w:rPr>
              <w:t>0.16</w:t>
            </w:r>
          </w:p>
        </w:tc>
        <w:tc>
          <w:tcPr>
            <w:tcW w:w="727" w:type="pct"/>
            <w:noWrap w:val="0"/>
            <w:vAlign w:val="center"/>
          </w:tcPr>
          <w:p w14:paraId="3DC03190">
            <w:pPr>
              <w:spacing w:line="0" w:lineRule="atLeast"/>
              <w:jc w:val="center"/>
              <w:rPr>
                <w:rFonts w:hint="default" w:eastAsia="宋体" w:cs="Arial"/>
                <w:color w:val="auto"/>
                <w:kern w:val="0"/>
                <w:sz w:val="21"/>
                <w:szCs w:val="21"/>
                <w:lang w:val="en-US" w:eastAsia="zh-CN"/>
              </w:rPr>
            </w:pPr>
            <w:r>
              <w:rPr>
                <w:rFonts w:hint="eastAsia" w:eastAsia="宋体" w:cs="Arial"/>
                <w:color w:val="auto"/>
                <w:kern w:val="0"/>
                <w:sz w:val="21"/>
                <w:szCs w:val="21"/>
                <w:lang w:val="en-US" w:eastAsia="zh-CN"/>
              </w:rPr>
              <w:t>0.16</w:t>
            </w:r>
          </w:p>
        </w:tc>
        <w:tc>
          <w:tcPr>
            <w:tcW w:w="813" w:type="pct"/>
            <w:noWrap w:val="0"/>
            <w:vAlign w:val="center"/>
          </w:tcPr>
          <w:p w14:paraId="17A1D131">
            <w:pPr>
              <w:spacing w:line="0" w:lineRule="atLeast"/>
              <w:jc w:val="center"/>
              <w:rPr>
                <w:rFonts w:eastAsia="宋体" w:cs="Arial"/>
                <w:color w:val="auto"/>
                <w:kern w:val="0"/>
                <w:sz w:val="21"/>
                <w:szCs w:val="21"/>
              </w:rPr>
            </w:pPr>
          </w:p>
        </w:tc>
      </w:tr>
      <w:tr w14:paraId="3C3AE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1067" w:type="pct"/>
            <w:noWrap w:val="0"/>
            <w:vAlign w:val="center"/>
          </w:tcPr>
          <w:p w14:paraId="3C7F7803">
            <w:pPr>
              <w:spacing w:line="0" w:lineRule="atLeast"/>
              <w:rPr>
                <w:rFonts w:eastAsia="宋体" w:cs="Arial"/>
                <w:color w:val="auto"/>
                <w:kern w:val="0"/>
                <w:sz w:val="21"/>
                <w:szCs w:val="21"/>
              </w:rPr>
            </w:pPr>
            <w:r>
              <w:rPr>
                <w:rFonts w:hint="eastAsia" w:eastAsia="宋体" w:cs="Arial"/>
                <w:color w:val="auto"/>
                <w:kern w:val="0"/>
                <w:sz w:val="21"/>
                <w:szCs w:val="21"/>
              </w:rPr>
              <w:t>公务用车购置及运行费</w:t>
            </w:r>
          </w:p>
        </w:tc>
        <w:tc>
          <w:tcPr>
            <w:tcW w:w="374" w:type="pct"/>
            <w:noWrap w:val="0"/>
            <w:vAlign w:val="center"/>
          </w:tcPr>
          <w:p w14:paraId="6849C460">
            <w:pPr>
              <w:spacing w:line="0" w:lineRule="atLeast"/>
              <w:jc w:val="center"/>
              <w:rPr>
                <w:rFonts w:eastAsia="宋体" w:cs="Arial"/>
                <w:color w:val="auto"/>
                <w:kern w:val="0"/>
                <w:sz w:val="21"/>
                <w:szCs w:val="21"/>
              </w:rPr>
            </w:pPr>
          </w:p>
        </w:tc>
        <w:tc>
          <w:tcPr>
            <w:tcW w:w="764" w:type="pct"/>
            <w:noWrap w:val="0"/>
            <w:vAlign w:val="center"/>
          </w:tcPr>
          <w:p w14:paraId="2C061F72">
            <w:pPr>
              <w:spacing w:line="0" w:lineRule="atLeast"/>
              <w:jc w:val="center"/>
              <w:rPr>
                <w:rFonts w:eastAsia="宋体" w:cs="Arial"/>
                <w:color w:val="auto"/>
                <w:kern w:val="0"/>
                <w:sz w:val="21"/>
                <w:szCs w:val="21"/>
              </w:rPr>
            </w:pPr>
          </w:p>
        </w:tc>
        <w:tc>
          <w:tcPr>
            <w:tcW w:w="902" w:type="pct"/>
            <w:noWrap w:val="0"/>
            <w:vAlign w:val="center"/>
          </w:tcPr>
          <w:p w14:paraId="5501572E">
            <w:pPr>
              <w:spacing w:line="0" w:lineRule="atLeast"/>
              <w:jc w:val="center"/>
              <w:rPr>
                <w:rFonts w:eastAsia="宋体" w:cs="Arial"/>
                <w:color w:val="auto"/>
                <w:kern w:val="0"/>
                <w:sz w:val="21"/>
                <w:szCs w:val="21"/>
              </w:rPr>
            </w:pPr>
          </w:p>
        </w:tc>
        <w:tc>
          <w:tcPr>
            <w:tcW w:w="349" w:type="pct"/>
            <w:noWrap w:val="0"/>
            <w:vAlign w:val="center"/>
          </w:tcPr>
          <w:p w14:paraId="70974D52">
            <w:pPr>
              <w:spacing w:line="0" w:lineRule="atLeast"/>
              <w:jc w:val="center"/>
              <w:rPr>
                <w:rFonts w:eastAsia="宋体" w:cs="Arial"/>
                <w:color w:val="auto"/>
                <w:kern w:val="0"/>
                <w:sz w:val="21"/>
                <w:szCs w:val="21"/>
              </w:rPr>
            </w:pPr>
          </w:p>
        </w:tc>
        <w:tc>
          <w:tcPr>
            <w:tcW w:w="727" w:type="pct"/>
            <w:noWrap w:val="0"/>
            <w:vAlign w:val="center"/>
          </w:tcPr>
          <w:p w14:paraId="3AD2759D">
            <w:pPr>
              <w:spacing w:line="0" w:lineRule="atLeast"/>
              <w:jc w:val="center"/>
              <w:rPr>
                <w:rFonts w:eastAsia="宋体" w:cs="Arial"/>
                <w:color w:val="auto"/>
                <w:kern w:val="0"/>
                <w:sz w:val="21"/>
                <w:szCs w:val="21"/>
              </w:rPr>
            </w:pPr>
          </w:p>
        </w:tc>
        <w:tc>
          <w:tcPr>
            <w:tcW w:w="813" w:type="pct"/>
            <w:noWrap w:val="0"/>
            <w:vAlign w:val="center"/>
          </w:tcPr>
          <w:p w14:paraId="640B1752">
            <w:pPr>
              <w:spacing w:line="0" w:lineRule="atLeast"/>
              <w:jc w:val="center"/>
              <w:rPr>
                <w:rFonts w:eastAsia="宋体" w:cs="Arial"/>
                <w:color w:val="auto"/>
                <w:kern w:val="0"/>
                <w:sz w:val="21"/>
                <w:szCs w:val="21"/>
              </w:rPr>
            </w:pPr>
          </w:p>
        </w:tc>
      </w:tr>
      <w:tr w14:paraId="79D5E0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1067" w:type="pct"/>
            <w:noWrap w:val="0"/>
            <w:vAlign w:val="center"/>
          </w:tcPr>
          <w:p w14:paraId="05472B32">
            <w:pPr>
              <w:spacing w:line="0" w:lineRule="atLeast"/>
              <w:jc w:val="both"/>
              <w:rPr>
                <w:rFonts w:eastAsia="宋体" w:cs="Arial"/>
                <w:color w:val="auto"/>
                <w:kern w:val="0"/>
                <w:sz w:val="21"/>
                <w:szCs w:val="21"/>
              </w:rPr>
            </w:pPr>
            <w:r>
              <w:rPr>
                <w:rFonts w:hint="eastAsia" w:eastAsia="宋体" w:cs="Arial"/>
                <w:color w:val="auto"/>
                <w:kern w:val="0"/>
                <w:sz w:val="21"/>
                <w:szCs w:val="21"/>
              </w:rPr>
              <w:t>其中：公务车运行维护费</w:t>
            </w:r>
          </w:p>
        </w:tc>
        <w:tc>
          <w:tcPr>
            <w:tcW w:w="374" w:type="pct"/>
            <w:noWrap w:val="0"/>
            <w:vAlign w:val="center"/>
          </w:tcPr>
          <w:p w14:paraId="0A5853AA">
            <w:pPr>
              <w:spacing w:line="0" w:lineRule="atLeast"/>
              <w:jc w:val="center"/>
              <w:rPr>
                <w:rFonts w:eastAsia="宋体" w:cs="Arial"/>
                <w:color w:val="auto"/>
                <w:kern w:val="0"/>
                <w:sz w:val="21"/>
                <w:szCs w:val="21"/>
              </w:rPr>
            </w:pPr>
          </w:p>
        </w:tc>
        <w:tc>
          <w:tcPr>
            <w:tcW w:w="764" w:type="pct"/>
            <w:noWrap w:val="0"/>
            <w:vAlign w:val="center"/>
          </w:tcPr>
          <w:p w14:paraId="6742F689">
            <w:pPr>
              <w:spacing w:line="0" w:lineRule="atLeast"/>
              <w:jc w:val="center"/>
              <w:rPr>
                <w:rFonts w:eastAsia="宋体" w:cs="Arial"/>
                <w:color w:val="auto"/>
                <w:kern w:val="0"/>
                <w:sz w:val="21"/>
                <w:szCs w:val="21"/>
              </w:rPr>
            </w:pPr>
          </w:p>
        </w:tc>
        <w:tc>
          <w:tcPr>
            <w:tcW w:w="902" w:type="pct"/>
            <w:noWrap w:val="0"/>
            <w:vAlign w:val="center"/>
          </w:tcPr>
          <w:p w14:paraId="47D6D1CB">
            <w:pPr>
              <w:spacing w:line="0" w:lineRule="atLeast"/>
              <w:jc w:val="center"/>
              <w:rPr>
                <w:rFonts w:eastAsia="宋体" w:cs="Arial"/>
                <w:color w:val="auto"/>
                <w:kern w:val="0"/>
                <w:sz w:val="21"/>
                <w:szCs w:val="21"/>
              </w:rPr>
            </w:pPr>
          </w:p>
        </w:tc>
        <w:tc>
          <w:tcPr>
            <w:tcW w:w="349" w:type="pct"/>
            <w:noWrap w:val="0"/>
            <w:vAlign w:val="center"/>
          </w:tcPr>
          <w:p w14:paraId="4082A72C">
            <w:pPr>
              <w:spacing w:line="0" w:lineRule="atLeast"/>
              <w:jc w:val="center"/>
              <w:rPr>
                <w:rFonts w:eastAsia="宋体" w:cs="Arial"/>
                <w:color w:val="auto"/>
                <w:kern w:val="0"/>
                <w:sz w:val="21"/>
                <w:szCs w:val="21"/>
              </w:rPr>
            </w:pPr>
          </w:p>
        </w:tc>
        <w:tc>
          <w:tcPr>
            <w:tcW w:w="727" w:type="pct"/>
            <w:noWrap w:val="0"/>
            <w:vAlign w:val="center"/>
          </w:tcPr>
          <w:p w14:paraId="14A50A5D">
            <w:pPr>
              <w:spacing w:line="0" w:lineRule="atLeast"/>
              <w:jc w:val="center"/>
              <w:rPr>
                <w:rFonts w:eastAsia="宋体" w:cs="Arial"/>
                <w:color w:val="auto"/>
                <w:kern w:val="0"/>
                <w:sz w:val="21"/>
                <w:szCs w:val="21"/>
              </w:rPr>
            </w:pPr>
          </w:p>
        </w:tc>
        <w:tc>
          <w:tcPr>
            <w:tcW w:w="813" w:type="pct"/>
            <w:noWrap w:val="0"/>
            <w:vAlign w:val="center"/>
          </w:tcPr>
          <w:p w14:paraId="62C55E8E">
            <w:pPr>
              <w:spacing w:line="0" w:lineRule="atLeast"/>
              <w:jc w:val="center"/>
              <w:rPr>
                <w:rFonts w:eastAsia="宋体" w:cs="Arial"/>
                <w:color w:val="auto"/>
                <w:kern w:val="0"/>
                <w:sz w:val="21"/>
                <w:szCs w:val="21"/>
              </w:rPr>
            </w:pPr>
          </w:p>
        </w:tc>
      </w:tr>
      <w:tr w14:paraId="1A8CC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1067" w:type="pct"/>
            <w:noWrap w:val="0"/>
            <w:vAlign w:val="center"/>
          </w:tcPr>
          <w:p w14:paraId="69939C90">
            <w:pPr>
              <w:spacing w:line="0" w:lineRule="atLeast"/>
              <w:jc w:val="left"/>
              <w:rPr>
                <w:rFonts w:eastAsia="宋体" w:cs="Arial"/>
                <w:color w:val="auto"/>
                <w:kern w:val="0"/>
                <w:sz w:val="21"/>
                <w:szCs w:val="21"/>
              </w:rPr>
            </w:pPr>
            <w:r>
              <w:rPr>
                <w:rFonts w:hint="eastAsia" w:eastAsia="宋体" w:cs="Arial"/>
                <w:color w:val="auto"/>
                <w:kern w:val="0"/>
                <w:sz w:val="21"/>
                <w:szCs w:val="21"/>
              </w:rPr>
              <w:t>公务用车购置费</w:t>
            </w:r>
          </w:p>
        </w:tc>
        <w:tc>
          <w:tcPr>
            <w:tcW w:w="374" w:type="pct"/>
            <w:noWrap w:val="0"/>
            <w:vAlign w:val="center"/>
          </w:tcPr>
          <w:p w14:paraId="4CCA7603">
            <w:pPr>
              <w:spacing w:line="0" w:lineRule="atLeast"/>
              <w:jc w:val="center"/>
              <w:rPr>
                <w:rFonts w:eastAsia="宋体" w:cs="Arial"/>
                <w:color w:val="auto"/>
                <w:kern w:val="0"/>
                <w:sz w:val="21"/>
                <w:szCs w:val="21"/>
              </w:rPr>
            </w:pPr>
          </w:p>
        </w:tc>
        <w:tc>
          <w:tcPr>
            <w:tcW w:w="764" w:type="pct"/>
            <w:noWrap w:val="0"/>
            <w:vAlign w:val="center"/>
          </w:tcPr>
          <w:p w14:paraId="265163BB">
            <w:pPr>
              <w:spacing w:line="0" w:lineRule="atLeast"/>
              <w:jc w:val="center"/>
              <w:rPr>
                <w:rFonts w:eastAsia="宋体" w:cs="Arial"/>
                <w:color w:val="auto"/>
                <w:kern w:val="0"/>
                <w:sz w:val="21"/>
                <w:szCs w:val="21"/>
              </w:rPr>
            </w:pPr>
          </w:p>
        </w:tc>
        <w:tc>
          <w:tcPr>
            <w:tcW w:w="902" w:type="pct"/>
            <w:noWrap w:val="0"/>
            <w:vAlign w:val="center"/>
          </w:tcPr>
          <w:p w14:paraId="3CC04A42">
            <w:pPr>
              <w:spacing w:line="0" w:lineRule="atLeast"/>
              <w:jc w:val="center"/>
              <w:rPr>
                <w:rFonts w:eastAsia="宋体" w:cs="Arial"/>
                <w:color w:val="auto"/>
                <w:kern w:val="0"/>
                <w:sz w:val="21"/>
                <w:szCs w:val="21"/>
              </w:rPr>
            </w:pPr>
          </w:p>
        </w:tc>
        <w:tc>
          <w:tcPr>
            <w:tcW w:w="349" w:type="pct"/>
            <w:noWrap w:val="0"/>
            <w:vAlign w:val="center"/>
          </w:tcPr>
          <w:p w14:paraId="7068808D">
            <w:pPr>
              <w:spacing w:line="0" w:lineRule="atLeast"/>
              <w:jc w:val="center"/>
              <w:rPr>
                <w:rFonts w:eastAsia="宋体" w:cs="Arial"/>
                <w:color w:val="auto"/>
                <w:kern w:val="0"/>
                <w:sz w:val="21"/>
                <w:szCs w:val="21"/>
              </w:rPr>
            </w:pPr>
          </w:p>
        </w:tc>
        <w:tc>
          <w:tcPr>
            <w:tcW w:w="727" w:type="pct"/>
            <w:noWrap w:val="0"/>
            <w:vAlign w:val="center"/>
          </w:tcPr>
          <w:p w14:paraId="6941C419">
            <w:pPr>
              <w:spacing w:line="0" w:lineRule="atLeast"/>
              <w:jc w:val="center"/>
              <w:rPr>
                <w:rFonts w:eastAsia="宋体" w:cs="Arial"/>
                <w:color w:val="auto"/>
                <w:kern w:val="0"/>
                <w:sz w:val="21"/>
                <w:szCs w:val="21"/>
              </w:rPr>
            </w:pPr>
          </w:p>
        </w:tc>
        <w:tc>
          <w:tcPr>
            <w:tcW w:w="813" w:type="pct"/>
            <w:noWrap w:val="0"/>
            <w:vAlign w:val="center"/>
          </w:tcPr>
          <w:p w14:paraId="4DA94896">
            <w:pPr>
              <w:spacing w:line="0" w:lineRule="atLeast"/>
              <w:jc w:val="center"/>
              <w:rPr>
                <w:rFonts w:eastAsia="宋体" w:cs="Arial"/>
                <w:color w:val="auto"/>
                <w:kern w:val="0"/>
                <w:sz w:val="21"/>
                <w:szCs w:val="21"/>
              </w:rPr>
            </w:pPr>
          </w:p>
        </w:tc>
      </w:tr>
      <w:tr w14:paraId="3D81FF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trPr>
        <w:tc>
          <w:tcPr>
            <w:tcW w:w="1067" w:type="pct"/>
            <w:noWrap w:val="0"/>
            <w:vAlign w:val="center"/>
          </w:tcPr>
          <w:p w14:paraId="66D6B51C">
            <w:pPr>
              <w:spacing w:line="0" w:lineRule="atLeast"/>
              <w:jc w:val="center"/>
              <w:rPr>
                <w:rFonts w:eastAsia="宋体" w:cs="Arial"/>
                <w:color w:val="auto"/>
                <w:kern w:val="0"/>
                <w:sz w:val="21"/>
                <w:szCs w:val="21"/>
              </w:rPr>
            </w:pPr>
            <w:r>
              <w:rPr>
                <w:rFonts w:hint="eastAsia" w:eastAsia="宋体" w:cs="Arial"/>
                <w:color w:val="auto"/>
                <w:kern w:val="0"/>
                <w:sz w:val="21"/>
                <w:szCs w:val="21"/>
              </w:rPr>
              <w:t>总计</w:t>
            </w:r>
          </w:p>
        </w:tc>
        <w:tc>
          <w:tcPr>
            <w:tcW w:w="374" w:type="pct"/>
            <w:noWrap w:val="0"/>
            <w:vAlign w:val="center"/>
          </w:tcPr>
          <w:p w14:paraId="6B37B90F">
            <w:pPr>
              <w:spacing w:line="0" w:lineRule="atLeast"/>
              <w:jc w:val="center"/>
              <w:rPr>
                <w:rFonts w:hint="default" w:ascii="宋体" w:hAnsi="宋体" w:eastAsia="宋体" w:cs="Arial"/>
                <w:b/>
                <w:color w:val="auto"/>
                <w:kern w:val="0"/>
                <w:sz w:val="21"/>
                <w:szCs w:val="21"/>
                <w:lang w:val="en-US" w:eastAsia="zh-CN" w:bidi="ar-SA"/>
              </w:rPr>
            </w:pPr>
            <w:r>
              <w:rPr>
                <w:rFonts w:hint="eastAsia" w:eastAsia="宋体" w:cs="Arial"/>
                <w:color w:val="auto"/>
                <w:kern w:val="0"/>
                <w:sz w:val="21"/>
                <w:szCs w:val="21"/>
                <w:lang w:val="en-US" w:eastAsia="zh-CN"/>
              </w:rPr>
              <w:t>1.00</w:t>
            </w:r>
          </w:p>
        </w:tc>
        <w:tc>
          <w:tcPr>
            <w:tcW w:w="764" w:type="pct"/>
            <w:noWrap w:val="0"/>
            <w:vAlign w:val="center"/>
          </w:tcPr>
          <w:p w14:paraId="563687BC">
            <w:pPr>
              <w:spacing w:line="0" w:lineRule="atLeast"/>
              <w:jc w:val="center"/>
              <w:rPr>
                <w:rFonts w:hint="default" w:ascii="宋体" w:hAnsi="宋体" w:eastAsia="宋体" w:cs="Arial"/>
                <w:b/>
                <w:color w:val="auto"/>
                <w:kern w:val="0"/>
                <w:sz w:val="21"/>
                <w:szCs w:val="21"/>
                <w:lang w:val="en-US" w:eastAsia="zh-CN" w:bidi="ar-SA"/>
              </w:rPr>
            </w:pPr>
            <w:r>
              <w:rPr>
                <w:rFonts w:hint="eastAsia" w:eastAsia="宋体" w:cs="Arial"/>
                <w:color w:val="auto"/>
                <w:kern w:val="0"/>
                <w:sz w:val="21"/>
                <w:szCs w:val="21"/>
                <w:lang w:val="en-US" w:eastAsia="zh-CN"/>
              </w:rPr>
              <w:t>1.00</w:t>
            </w:r>
          </w:p>
        </w:tc>
        <w:tc>
          <w:tcPr>
            <w:tcW w:w="902" w:type="pct"/>
            <w:noWrap w:val="0"/>
            <w:vAlign w:val="center"/>
          </w:tcPr>
          <w:p w14:paraId="0B7704E3">
            <w:pPr>
              <w:spacing w:line="0" w:lineRule="atLeast"/>
              <w:jc w:val="center"/>
              <w:rPr>
                <w:rFonts w:ascii="宋体" w:hAnsi="宋体" w:eastAsia="宋体" w:cs="Arial"/>
                <w:b/>
                <w:color w:val="auto"/>
                <w:kern w:val="0"/>
                <w:sz w:val="21"/>
                <w:szCs w:val="21"/>
                <w:lang w:val="en-US" w:eastAsia="zh-CN" w:bidi="ar-SA"/>
              </w:rPr>
            </w:pPr>
          </w:p>
        </w:tc>
        <w:tc>
          <w:tcPr>
            <w:tcW w:w="349" w:type="pct"/>
            <w:noWrap w:val="0"/>
            <w:vAlign w:val="center"/>
          </w:tcPr>
          <w:p w14:paraId="0538AC73">
            <w:pPr>
              <w:spacing w:line="0" w:lineRule="atLeast"/>
              <w:jc w:val="center"/>
              <w:rPr>
                <w:rFonts w:hint="default" w:ascii="宋体" w:hAnsi="宋体" w:eastAsia="宋体" w:cs="Arial"/>
                <w:b/>
                <w:color w:val="auto"/>
                <w:kern w:val="0"/>
                <w:sz w:val="21"/>
                <w:szCs w:val="21"/>
                <w:lang w:val="en-US" w:eastAsia="zh-CN" w:bidi="ar-SA"/>
              </w:rPr>
            </w:pPr>
            <w:r>
              <w:rPr>
                <w:rFonts w:hint="eastAsia" w:eastAsia="宋体" w:cs="Arial"/>
                <w:color w:val="auto"/>
                <w:kern w:val="0"/>
                <w:sz w:val="21"/>
                <w:szCs w:val="21"/>
                <w:lang w:val="en-US" w:eastAsia="zh-CN"/>
              </w:rPr>
              <w:t>0.16</w:t>
            </w:r>
          </w:p>
        </w:tc>
        <w:tc>
          <w:tcPr>
            <w:tcW w:w="727" w:type="pct"/>
            <w:noWrap w:val="0"/>
            <w:vAlign w:val="center"/>
          </w:tcPr>
          <w:p w14:paraId="25A18FCC">
            <w:pPr>
              <w:spacing w:line="0" w:lineRule="atLeast"/>
              <w:jc w:val="center"/>
              <w:rPr>
                <w:rFonts w:hint="default" w:ascii="宋体" w:hAnsi="宋体" w:eastAsia="宋体" w:cs="Arial"/>
                <w:b/>
                <w:color w:val="auto"/>
                <w:kern w:val="0"/>
                <w:sz w:val="21"/>
                <w:szCs w:val="21"/>
                <w:lang w:val="en-US" w:eastAsia="zh-CN" w:bidi="ar-SA"/>
              </w:rPr>
            </w:pPr>
            <w:r>
              <w:rPr>
                <w:rFonts w:hint="eastAsia" w:eastAsia="宋体" w:cs="Arial"/>
                <w:color w:val="auto"/>
                <w:kern w:val="0"/>
                <w:sz w:val="21"/>
                <w:szCs w:val="21"/>
                <w:lang w:val="en-US" w:eastAsia="zh-CN"/>
              </w:rPr>
              <w:t>0.16</w:t>
            </w:r>
          </w:p>
        </w:tc>
        <w:tc>
          <w:tcPr>
            <w:tcW w:w="813" w:type="pct"/>
            <w:noWrap w:val="0"/>
            <w:vAlign w:val="center"/>
          </w:tcPr>
          <w:p w14:paraId="1A71C4B3">
            <w:pPr>
              <w:spacing w:line="0" w:lineRule="atLeast"/>
              <w:jc w:val="center"/>
              <w:rPr>
                <w:rFonts w:ascii="宋体" w:hAnsi="宋体" w:eastAsia="宋体" w:cs="Arial"/>
                <w:b/>
                <w:color w:val="auto"/>
                <w:kern w:val="0"/>
                <w:sz w:val="21"/>
                <w:szCs w:val="21"/>
                <w:lang w:val="en-US" w:eastAsia="zh-CN" w:bidi="ar-SA"/>
              </w:rPr>
            </w:pPr>
          </w:p>
        </w:tc>
      </w:tr>
    </w:tbl>
    <w:p w14:paraId="2B449B5A">
      <w:pPr>
        <w:spacing w:before="175" w:beforeLines="30" w:line="0" w:lineRule="atLeast"/>
        <w:jc w:val="left"/>
        <w:rPr>
          <w:rFonts w:hint="eastAsia" w:eastAsia="宋体" w:cs="Arial"/>
          <w:bCs/>
          <w:color w:val="auto"/>
          <w:kern w:val="0"/>
          <w:sz w:val="21"/>
          <w:szCs w:val="21"/>
        </w:rPr>
      </w:pPr>
      <w:r>
        <w:rPr>
          <w:rFonts w:hint="eastAsia" w:eastAsia="宋体" w:cs="Arial"/>
          <w:bCs/>
          <w:color w:val="auto"/>
          <w:kern w:val="0"/>
          <w:sz w:val="21"/>
          <w:szCs w:val="21"/>
        </w:rPr>
        <w:t>注：本表反映部门本年度一般公共预算及政府性基金预算财政拨款“三公”经费支出预决算情况。</w:t>
      </w:r>
    </w:p>
    <w:p w14:paraId="517919E7">
      <w:pPr>
        <w:spacing w:line="0" w:lineRule="atLeast"/>
        <w:ind w:firstLine="390" w:firstLineChars="185"/>
        <w:jc w:val="left"/>
        <w:rPr>
          <w:rFonts w:hint="eastAsia" w:eastAsia="宋体" w:cs="Arial"/>
          <w:bCs/>
          <w:color w:val="auto"/>
          <w:kern w:val="0"/>
          <w:sz w:val="21"/>
          <w:szCs w:val="21"/>
        </w:rPr>
      </w:pPr>
      <w:r>
        <w:rPr>
          <w:rFonts w:hint="eastAsia" w:eastAsia="宋体" w:cs="Arial"/>
          <w:bCs/>
          <w:color w:val="auto"/>
          <w:kern w:val="0"/>
          <w:sz w:val="21"/>
          <w:szCs w:val="21"/>
        </w:rPr>
        <w:t>其中，预算数为“三公”经费全年预算数，反映按规定程序调整后的预算数;决算数是包括当</w:t>
      </w:r>
    </w:p>
    <w:p w14:paraId="62CDE63F">
      <w:pPr>
        <w:spacing w:line="0" w:lineRule="atLeast"/>
        <w:ind w:firstLine="390" w:firstLineChars="185"/>
        <w:jc w:val="left"/>
        <w:rPr>
          <w:rFonts w:eastAsia="宋体" w:cs="Arial"/>
          <w:bCs/>
          <w:color w:val="auto"/>
          <w:kern w:val="0"/>
          <w:sz w:val="21"/>
          <w:szCs w:val="21"/>
        </w:rPr>
      </w:pPr>
      <w:r>
        <w:rPr>
          <w:rFonts w:hint="eastAsia" w:eastAsia="宋体" w:cs="Arial"/>
          <w:bCs/>
          <w:color w:val="auto"/>
          <w:kern w:val="0"/>
          <w:sz w:val="21"/>
          <w:szCs w:val="21"/>
        </w:rPr>
        <w:t>年一般公共预算财政拨款和以前年度结转资金安排的实际支出。</w:t>
      </w:r>
    </w:p>
    <w:p w14:paraId="17EE2C9E">
      <w:pPr>
        <w:ind w:firstLine="643" w:firstLineChars="200"/>
        <w:rPr>
          <w:rFonts w:hint="eastAsia" w:eastAsia="黑体"/>
          <w:color w:val="auto"/>
          <w:szCs w:val="36"/>
        </w:rPr>
      </w:pPr>
      <w:r>
        <w:rPr>
          <w:rFonts w:hint="eastAsia" w:eastAsia="黑体"/>
          <w:color w:val="auto"/>
          <w:szCs w:val="36"/>
        </w:rPr>
        <w:t>二、2025年度一般公共预算及政府性基金预算财政拨款“三公”经费支出决算情况说明</w:t>
      </w:r>
    </w:p>
    <w:p w14:paraId="6CF0EE44">
      <w:pPr>
        <w:numPr>
          <w:ilvl w:val="0"/>
          <w:numId w:val="1"/>
        </w:numPr>
        <w:suppressAutoHyphens/>
        <w:ind w:firstLine="643" w:firstLineChars="200"/>
        <w:rPr>
          <w:rFonts w:hint="eastAsia" w:eastAsia="宋体"/>
          <w:color w:val="auto"/>
          <w:szCs w:val="20"/>
        </w:rPr>
      </w:pPr>
      <w:r>
        <w:rPr>
          <w:rFonts w:hint="eastAsia" w:eastAsia="宋体"/>
          <w:color w:val="auto"/>
          <w:szCs w:val="20"/>
        </w:rPr>
        <w:t>一般公共预算及政府性基金预算财政拨款“三公”经费支出决算总体情况说明。</w:t>
      </w:r>
    </w:p>
    <w:p w14:paraId="2FF6716C">
      <w:pPr>
        <w:ind w:firstLine="643" w:firstLineChars="200"/>
        <w:rPr>
          <w:rFonts w:hint="eastAsia" w:eastAsia="仿宋"/>
          <w:color w:val="auto"/>
          <w:lang w:eastAsia="zh-CN"/>
        </w:rPr>
      </w:pPr>
      <w:r>
        <w:rPr>
          <w:rFonts w:hint="eastAsia"/>
          <w:bCs/>
          <w:color w:val="auto"/>
          <w:szCs w:val="20"/>
        </w:rPr>
        <w:t>2025年度一般公共预算及政府性基金预算财政拨款“三公”经费支出预算为</w:t>
      </w:r>
      <w:r>
        <w:rPr>
          <w:rFonts w:hint="eastAsia"/>
          <w:bCs/>
          <w:color w:val="auto"/>
          <w:szCs w:val="20"/>
          <w:lang w:val="en-US" w:eastAsia="zh-CN"/>
        </w:rPr>
        <w:t>1.00</w:t>
      </w:r>
      <w:r>
        <w:rPr>
          <w:rFonts w:hint="eastAsia"/>
          <w:bCs/>
          <w:color w:val="auto"/>
          <w:szCs w:val="20"/>
        </w:rPr>
        <w:t>万元，支出决算为</w:t>
      </w:r>
      <w:r>
        <w:rPr>
          <w:rFonts w:hint="eastAsia"/>
          <w:bCs/>
          <w:color w:val="auto"/>
          <w:szCs w:val="20"/>
          <w:lang w:val="en-US" w:eastAsia="zh-CN"/>
        </w:rPr>
        <w:t>0.16</w:t>
      </w:r>
      <w:r>
        <w:rPr>
          <w:rFonts w:hint="eastAsia"/>
          <w:bCs/>
          <w:color w:val="auto"/>
          <w:szCs w:val="20"/>
        </w:rPr>
        <w:t>万元，完成预算的</w:t>
      </w:r>
      <w:r>
        <w:rPr>
          <w:rFonts w:hint="eastAsia"/>
          <w:bCs/>
          <w:color w:val="auto"/>
          <w:szCs w:val="20"/>
          <w:lang w:val="en-US" w:eastAsia="zh-CN"/>
        </w:rPr>
        <w:t>16.00</w:t>
      </w:r>
      <w:r>
        <w:rPr>
          <w:rFonts w:hint="eastAsia"/>
          <w:bCs/>
          <w:color w:val="auto"/>
          <w:szCs w:val="20"/>
        </w:rPr>
        <w:t>%；较上年减少</w:t>
      </w:r>
      <w:r>
        <w:rPr>
          <w:rFonts w:hint="eastAsia"/>
          <w:bCs/>
          <w:color w:val="auto"/>
          <w:szCs w:val="20"/>
          <w:lang w:val="en-US" w:eastAsia="zh-CN"/>
        </w:rPr>
        <w:t>0.23</w:t>
      </w:r>
      <w:r>
        <w:rPr>
          <w:rFonts w:hint="eastAsia"/>
          <w:bCs/>
          <w:color w:val="auto"/>
          <w:szCs w:val="20"/>
        </w:rPr>
        <w:t>万元，下降</w:t>
      </w:r>
      <w:r>
        <w:rPr>
          <w:rFonts w:hint="eastAsia"/>
          <w:bCs/>
          <w:color w:val="auto"/>
          <w:szCs w:val="20"/>
          <w:lang w:val="en-US" w:eastAsia="zh-CN"/>
        </w:rPr>
        <w:t>58.97</w:t>
      </w:r>
      <w:r>
        <w:rPr>
          <w:rFonts w:hint="eastAsia"/>
          <w:bCs/>
          <w:color w:val="auto"/>
          <w:szCs w:val="20"/>
        </w:rPr>
        <w:t>%。决算数小于预算数的主要原因是</w:t>
      </w:r>
      <w:r>
        <w:rPr>
          <w:rFonts w:hint="eastAsia" w:ascii="仿宋" w:hAnsi="仿宋" w:eastAsia="仿宋" w:cs="仿宋"/>
          <w:b/>
          <w:bCs/>
          <w:i w:val="0"/>
          <w:iCs w:val="0"/>
          <w:caps w:val="0"/>
          <w:color w:val="auto"/>
          <w:spacing w:val="-4"/>
          <w:sz w:val="32"/>
          <w:szCs w:val="32"/>
          <w:shd w:val="clear" w:color="auto" w:fill="FFFFFF"/>
        </w:rPr>
        <w:t>我单位坚持厉行节约，严格公务接待管理，限定接待人数</w:t>
      </w:r>
      <w:r>
        <w:rPr>
          <w:rFonts w:hint="eastAsia"/>
          <w:bCs/>
          <w:color w:val="auto"/>
          <w:szCs w:val="20"/>
        </w:rPr>
        <w:t>。决算数较上年减少的主要原因是</w:t>
      </w:r>
      <w:r>
        <w:rPr>
          <w:rFonts w:hint="eastAsia" w:ascii="仿宋" w:hAnsi="仿宋" w:eastAsia="仿宋" w:cs="仿宋"/>
          <w:b/>
          <w:bCs/>
          <w:i w:val="0"/>
          <w:iCs w:val="0"/>
          <w:caps w:val="0"/>
          <w:color w:val="auto"/>
          <w:spacing w:val="-4"/>
          <w:sz w:val="32"/>
          <w:szCs w:val="32"/>
          <w:shd w:val="clear" w:color="auto" w:fill="FFFFFF"/>
        </w:rPr>
        <w:t>我单位坚持厉行节约，严格公务接待管理，限定接待人数</w:t>
      </w:r>
      <w:r>
        <w:rPr>
          <w:rFonts w:hint="eastAsia" w:ascii="仿宋" w:hAnsi="仿宋" w:eastAsia="仿宋" w:cs="仿宋"/>
          <w:b/>
          <w:bCs/>
          <w:i w:val="0"/>
          <w:iCs w:val="0"/>
          <w:caps w:val="0"/>
          <w:color w:val="auto"/>
          <w:spacing w:val="-4"/>
          <w:sz w:val="32"/>
          <w:szCs w:val="32"/>
          <w:shd w:val="clear" w:color="auto" w:fill="FFFFFF"/>
          <w:lang w:eastAsia="zh-CN"/>
        </w:rPr>
        <w:t>。</w:t>
      </w:r>
    </w:p>
    <w:p w14:paraId="536C3279">
      <w:pPr>
        <w:numPr>
          <w:ilvl w:val="0"/>
          <w:numId w:val="1"/>
        </w:numPr>
        <w:suppressAutoHyphens/>
        <w:ind w:left="0" w:leftChars="0" w:firstLine="643" w:firstLineChars="200"/>
        <w:rPr>
          <w:rFonts w:hint="eastAsia" w:eastAsia="宋体"/>
          <w:color w:val="auto"/>
          <w:szCs w:val="20"/>
        </w:rPr>
      </w:pPr>
      <w:r>
        <w:rPr>
          <w:rFonts w:hint="eastAsia" w:eastAsia="宋体"/>
          <w:color w:val="auto"/>
          <w:szCs w:val="20"/>
        </w:rPr>
        <w:t>一般公共预算及政府性基金预算财政拨款“三公”经费支出决算具体情况说明。</w:t>
      </w:r>
    </w:p>
    <w:p w14:paraId="2AA1059E">
      <w:pPr>
        <w:ind w:firstLine="643" w:firstLineChars="200"/>
        <w:rPr>
          <w:rFonts w:hint="eastAsia"/>
          <w:bCs/>
          <w:color w:val="auto"/>
          <w:szCs w:val="20"/>
        </w:rPr>
      </w:pPr>
      <w:r>
        <w:rPr>
          <w:rFonts w:hint="eastAsia"/>
          <w:bCs/>
          <w:color w:val="auto"/>
          <w:szCs w:val="20"/>
        </w:rPr>
        <w:t>2025年度一般公共预算及政府性基金预算财政拨款“三公”经费支出决算中，因公出国（境）费支出决算</w:t>
      </w:r>
      <w:r>
        <w:rPr>
          <w:rFonts w:hint="eastAsia"/>
          <w:bCs/>
          <w:color w:val="auto"/>
          <w:szCs w:val="20"/>
          <w:lang w:val="en-US" w:eastAsia="zh-CN"/>
        </w:rPr>
        <w:t>0</w:t>
      </w:r>
      <w:r>
        <w:rPr>
          <w:rFonts w:hint="eastAsia"/>
          <w:bCs/>
          <w:color w:val="auto"/>
          <w:szCs w:val="20"/>
        </w:rPr>
        <w:t>万元，占</w:t>
      </w:r>
      <w:r>
        <w:rPr>
          <w:rFonts w:hint="eastAsia"/>
          <w:bCs/>
          <w:color w:val="auto"/>
          <w:szCs w:val="20"/>
          <w:lang w:val="en-US" w:eastAsia="zh-CN"/>
        </w:rPr>
        <w:t>0</w:t>
      </w:r>
      <w:r>
        <w:rPr>
          <w:rFonts w:hint="eastAsia"/>
          <w:bCs/>
          <w:color w:val="auto"/>
          <w:szCs w:val="20"/>
        </w:rPr>
        <w:t>%；公务接待费支出决算</w:t>
      </w:r>
      <w:r>
        <w:rPr>
          <w:rFonts w:hint="eastAsia"/>
          <w:bCs/>
          <w:color w:val="auto"/>
          <w:szCs w:val="20"/>
          <w:lang w:val="en-US" w:eastAsia="zh-CN"/>
        </w:rPr>
        <w:t>0.16</w:t>
      </w:r>
      <w:r>
        <w:rPr>
          <w:rFonts w:hint="eastAsia"/>
          <w:bCs/>
          <w:color w:val="auto"/>
          <w:szCs w:val="20"/>
        </w:rPr>
        <w:t>万元，占</w:t>
      </w:r>
      <w:r>
        <w:rPr>
          <w:rFonts w:hint="eastAsia"/>
          <w:bCs/>
          <w:color w:val="auto"/>
          <w:szCs w:val="20"/>
          <w:lang w:val="en-US" w:eastAsia="zh-CN"/>
        </w:rPr>
        <w:t>100</w:t>
      </w:r>
      <w:r>
        <w:rPr>
          <w:rFonts w:hint="eastAsia"/>
          <w:bCs/>
          <w:color w:val="auto"/>
          <w:szCs w:val="20"/>
        </w:rPr>
        <w:t>%；公务用车购置及</w:t>
      </w:r>
      <w:r>
        <w:rPr>
          <w:rFonts w:hint="eastAsia"/>
          <w:bCs/>
          <w:color w:val="auto"/>
          <w:szCs w:val="32"/>
        </w:rPr>
        <w:t>运行维护费</w:t>
      </w:r>
      <w:r>
        <w:rPr>
          <w:rFonts w:hint="eastAsia"/>
          <w:bCs/>
          <w:color w:val="auto"/>
          <w:szCs w:val="20"/>
        </w:rPr>
        <w:t>支出决算</w:t>
      </w:r>
      <w:r>
        <w:rPr>
          <w:rFonts w:hint="eastAsia"/>
          <w:bCs/>
          <w:color w:val="auto"/>
          <w:szCs w:val="20"/>
          <w:lang w:val="en-US" w:eastAsia="zh-CN"/>
        </w:rPr>
        <w:t>0</w:t>
      </w:r>
      <w:r>
        <w:rPr>
          <w:rFonts w:hint="eastAsia"/>
          <w:bCs/>
          <w:color w:val="auto"/>
          <w:szCs w:val="20"/>
        </w:rPr>
        <w:t>万元，占</w:t>
      </w:r>
      <w:r>
        <w:rPr>
          <w:rFonts w:hint="eastAsia"/>
          <w:bCs/>
          <w:color w:val="auto"/>
          <w:szCs w:val="20"/>
          <w:lang w:val="en-US" w:eastAsia="zh-CN"/>
        </w:rPr>
        <w:t>0</w:t>
      </w:r>
      <w:r>
        <w:rPr>
          <w:rFonts w:hint="eastAsia"/>
          <w:bCs/>
          <w:color w:val="auto"/>
          <w:szCs w:val="20"/>
        </w:rPr>
        <w:t>%。具体情况如下：</w:t>
      </w:r>
    </w:p>
    <w:p w14:paraId="38A0AC20">
      <w:pPr>
        <w:numPr>
          <w:ilvl w:val="0"/>
          <w:numId w:val="2"/>
        </w:numPr>
        <w:ind w:firstLine="643" w:firstLineChars="200"/>
        <w:rPr>
          <w:rFonts w:hint="eastAsia"/>
          <w:bCs/>
          <w:color w:val="auto"/>
          <w:szCs w:val="20"/>
        </w:rPr>
      </w:pPr>
      <w:r>
        <w:rPr>
          <w:rFonts w:hint="eastAsia"/>
          <w:bCs/>
          <w:color w:val="auto"/>
          <w:szCs w:val="20"/>
        </w:rPr>
        <w:t>因公出国（境）费</w:t>
      </w:r>
      <w:r>
        <w:rPr>
          <w:rFonts w:hint="eastAsia"/>
          <w:bCs/>
          <w:color w:val="auto"/>
          <w:szCs w:val="32"/>
        </w:rPr>
        <w:t>预算为</w:t>
      </w:r>
      <w:r>
        <w:rPr>
          <w:rFonts w:hint="eastAsia"/>
          <w:bCs/>
          <w:color w:val="auto"/>
          <w:szCs w:val="32"/>
          <w:lang w:val="en-US" w:eastAsia="zh-CN"/>
        </w:rPr>
        <w:t>0</w:t>
      </w:r>
      <w:r>
        <w:rPr>
          <w:rFonts w:hint="eastAsia"/>
          <w:bCs/>
          <w:color w:val="auto"/>
          <w:szCs w:val="32"/>
        </w:rPr>
        <w:t>万元，支出决算为</w:t>
      </w:r>
      <w:r>
        <w:rPr>
          <w:rFonts w:hint="eastAsia"/>
          <w:bCs/>
          <w:color w:val="auto"/>
          <w:szCs w:val="32"/>
          <w:lang w:val="en-US" w:eastAsia="zh-CN"/>
        </w:rPr>
        <w:t>0</w:t>
      </w:r>
      <w:r>
        <w:rPr>
          <w:rFonts w:hint="eastAsia"/>
          <w:bCs/>
          <w:color w:val="auto"/>
          <w:szCs w:val="32"/>
        </w:rPr>
        <w:t>万元，</w:t>
      </w:r>
      <w:r>
        <w:rPr>
          <w:rFonts w:hint="eastAsia"/>
          <w:bCs/>
          <w:color w:val="auto"/>
          <w:szCs w:val="32"/>
          <w:lang w:val="en-US" w:eastAsia="zh-CN"/>
        </w:rPr>
        <w:t>决算数与预算数持平；与上年持平。</w:t>
      </w:r>
      <w:r>
        <w:rPr>
          <w:rFonts w:hint="eastAsia" w:ascii="仿宋" w:hAnsi="仿宋" w:eastAsia="仿宋" w:cs="仿宋"/>
          <w:b/>
          <w:bCs/>
          <w:i w:val="0"/>
          <w:iCs w:val="0"/>
          <w:caps w:val="0"/>
          <w:color w:val="auto"/>
          <w:spacing w:val="0"/>
          <w:sz w:val="32"/>
          <w:szCs w:val="32"/>
          <w:shd w:val="clear" w:color="auto" w:fill="FFFFFF"/>
        </w:rPr>
        <w:t>决算数</w:t>
      </w:r>
      <w:r>
        <w:rPr>
          <w:rFonts w:hint="eastAsia" w:ascii="仿宋" w:hAnsi="仿宋" w:eastAsia="仿宋" w:cs="仿宋"/>
          <w:b/>
          <w:bCs/>
          <w:i w:val="0"/>
          <w:iCs w:val="0"/>
          <w:caps w:val="0"/>
          <w:color w:val="auto"/>
          <w:spacing w:val="0"/>
          <w:sz w:val="32"/>
          <w:szCs w:val="32"/>
          <w:shd w:val="clear" w:color="auto" w:fill="FFFFFF"/>
          <w:lang w:val="en-US" w:eastAsia="zh-CN"/>
        </w:rPr>
        <w:t>与</w:t>
      </w:r>
      <w:r>
        <w:rPr>
          <w:rFonts w:hint="eastAsia" w:ascii="仿宋" w:hAnsi="仿宋" w:eastAsia="仿宋" w:cs="仿宋"/>
          <w:b/>
          <w:bCs/>
          <w:i w:val="0"/>
          <w:iCs w:val="0"/>
          <w:caps w:val="0"/>
          <w:color w:val="auto"/>
          <w:spacing w:val="0"/>
          <w:sz w:val="32"/>
          <w:szCs w:val="32"/>
          <w:shd w:val="clear" w:color="auto" w:fill="FFFFFF"/>
        </w:rPr>
        <w:t>预算数</w:t>
      </w:r>
      <w:r>
        <w:rPr>
          <w:rFonts w:hint="eastAsia" w:ascii="仿宋" w:hAnsi="仿宋" w:eastAsia="仿宋" w:cs="仿宋"/>
          <w:b/>
          <w:bCs/>
          <w:i w:val="0"/>
          <w:iCs w:val="0"/>
          <w:caps w:val="0"/>
          <w:color w:val="auto"/>
          <w:spacing w:val="0"/>
          <w:sz w:val="32"/>
          <w:szCs w:val="32"/>
          <w:shd w:val="clear" w:color="auto" w:fill="FFFFFF"/>
          <w:lang w:val="en-US" w:eastAsia="zh-CN"/>
        </w:rPr>
        <w:t>持平</w:t>
      </w:r>
      <w:r>
        <w:rPr>
          <w:rFonts w:hint="eastAsia" w:ascii="仿宋" w:hAnsi="仿宋" w:eastAsia="仿宋" w:cs="仿宋"/>
          <w:b/>
          <w:bCs/>
          <w:i w:val="0"/>
          <w:iCs w:val="0"/>
          <w:caps w:val="0"/>
          <w:color w:val="auto"/>
          <w:spacing w:val="0"/>
          <w:sz w:val="32"/>
          <w:szCs w:val="32"/>
          <w:shd w:val="clear" w:color="auto" w:fill="FFFFFF"/>
        </w:rPr>
        <w:t>的主要原因是</w:t>
      </w:r>
      <w:r>
        <w:rPr>
          <w:rFonts w:hint="eastAsia" w:ascii="宋体" w:hAnsi="宋体" w:eastAsia="宋体" w:cs="宋体"/>
          <w:b/>
          <w:bCs/>
          <w:i w:val="0"/>
          <w:iCs w:val="0"/>
          <w:caps w:val="0"/>
          <w:color w:val="auto"/>
          <w:spacing w:val="0"/>
          <w:sz w:val="32"/>
          <w:szCs w:val="32"/>
          <w:shd w:val="clear" w:color="auto" w:fill="FFFFFF"/>
        </w:rPr>
        <w:t>202</w:t>
      </w:r>
      <w:r>
        <w:rPr>
          <w:rFonts w:hint="eastAsia" w:ascii="宋体" w:hAnsi="宋体" w:eastAsia="宋体" w:cs="宋体"/>
          <w:b/>
          <w:bCs/>
          <w:i w:val="0"/>
          <w:iCs w:val="0"/>
          <w:caps w:val="0"/>
          <w:color w:val="auto"/>
          <w:spacing w:val="0"/>
          <w:sz w:val="32"/>
          <w:szCs w:val="32"/>
          <w:shd w:val="clear" w:color="auto" w:fill="FFFFFF"/>
          <w:lang w:val="en-US" w:eastAsia="zh-CN"/>
        </w:rPr>
        <w:t>5</w:t>
      </w:r>
      <w:r>
        <w:rPr>
          <w:rFonts w:hint="eastAsia" w:ascii="仿宋" w:hAnsi="仿宋" w:eastAsia="仿宋" w:cs="仿宋"/>
          <w:b/>
          <w:bCs/>
          <w:i w:val="0"/>
          <w:iCs w:val="0"/>
          <w:caps w:val="0"/>
          <w:color w:val="auto"/>
          <w:spacing w:val="0"/>
          <w:sz w:val="32"/>
          <w:szCs w:val="32"/>
          <w:shd w:val="clear" w:color="auto" w:fill="FFFFFF"/>
        </w:rPr>
        <w:t>年我单位没有因公出国（境）费支出预算安排，也没有实际发生因公出国（境）费支出。</w:t>
      </w:r>
      <w:r>
        <w:rPr>
          <w:rFonts w:hint="eastAsia" w:ascii="仿宋" w:hAnsi="仿宋" w:eastAsia="仿宋" w:cs="仿宋"/>
          <w:b/>
          <w:bCs/>
          <w:i w:val="0"/>
          <w:iCs w:val="0"/>
          <w:caps w:val="0"/>
          <w:color w:val="auto"/>
          <w:spacing w:val="0"/>
          <w:sz w:val="32"/>
          <w:szCs w:val="32"/>
          <w:shd w:val="clear" w:color="auto" w:fill="FFFFFF"/>
          <w:lang w:val="en-US" w:eastAsia="zh-CN"/>
        </w:rPr>
        <w:t>决算数</w:t>
      </w:r>
      <w:r>
        <w:rPr>
          <w:rFonts w:hint="eastAsia" w:ascii="仿宋" w:hAnsi="仿宋" w:eastAsia="仿宋" w:cs="仿宋"/>
          <w:b/>
          <w:bCs/>
          <w:i w:val="0"/>
          <w:iCs w:val="0"/>
          <w:caps w:val="0"/>
          <w:color w:val="auto"/>
          <w:spacing w:val="0"/>
          <w:sz w:val="32"/>
          <w:szCs w:val="32"/>
          <w:shd w:val="clear" w:color="auto" w:fill="FFFFFF"/>
        </w:rPr>
        <w:t>与上年持平</w:t>
      </w:r>
      <w:r>
        <w:rPr>
          <w:rFonts w:hint="eastAsia" w:ascii="仿宋" w:hAnsi="仿宋" w:eastAsia="仿宋" w:cs="仿宋"/>
          <w:b/>
          <w:bCs/>
          <w:i w:val="0"/>
          <w:iCs w:val="0"/>
          <w:caps w:val="0"/>
          <w:color w:val="auto"/>
          <w:spacing w:val="0"/>
          <w:sz w:val="32"/>
          <w:szCs w:val="32"/>
          <w:shd w:val="clear" w:color="auto" w:fill="FFFFFF"/>
        </w:rPr>
        <w:t>的主要原因是</w:t>
      </w:r>
      <w:r>
        <w:rPr>
          <w:rFonts w:hint="eastAsia" w:ascii="宋体" w:hAnsi="宋体" w:eastAsia="宋体" w:cs="宋体"/>
          <w:b/>
          <w:bCs/>
          <w:i w:val="0"/>
          <w:iCs w:val="0"/>
          <w:caps w:val="0"/>
          <w:color w:val="auto"/>
          <w:spacing w:val="0"/>
          <w:sz w:val="32"/>
          <w:szCs w:val="32"/>
          <w:shd w:val="clear" w:color="auto" w:fill="FFFFFF"/>
        </w:rPr>
        <w:t>202</w:t>
      </w:r>
      <w:r>
        <w:rPr>
          <w:rFonts w:hint="eastAsia" w:ascii="宋体" w:hAnsi="宋体" w:eastAsia="宋体" w:cs="宋体"/>
          <w:b/>
          <w:bCs/>
          <w:i w:val="0"/>
          <w:iCs w:val="0"/>
          <w:caps w:val="0"/>
          <w:color w:val="auto"/>
          <w:spacing w:val="0"/>
          <w:sz w:val="32"/>
          <w:szCs w:val="32"/>
          <w:shd w:val="clear" w:color="auto" w:fill="FFFFFF"/>
          <w:lang w:val="en-US" w:eastAsia="zh-CN"/>
        </w:rPr>
        <w:t>5</w:t>
      </w:r>
      <w:r>
        <w:rPr>
          <w:rFonts w:hint="eastAsia" w:ascii="仿宋" w:hAnsi="仿宋" w:eastAsia="仿宋" w:cs="仿宋"/>
          <w:b/>
          <w:bCs/>
          <w:i w:val="0"/>
          <w:iCs w:val="0"/>
          <w:caps w:val="0"/>
          <w:color w:val="auto"/>
          <w:spacing w:val="0"/>
          <w:sz w:val="32"/>
          <w:szCs w:val="32"/>
          <w:shd w:val="clear" w:color="auto" w:fill="FFFFFF"/>
        </w:rPr>
        <w:t>年及上年我单位没有因公出国（境）费支出预算安排，也没有实际发生因公出国（境）费支出。</w:t>
      </w:r>
      <w:r>
        <w:rPr>
          <w:rFonts w:hint="eastAsia"/>
          <w:bCs/>
          <w:color w:val="auto"/>
          <w:szCs w:val="20"/>
        </w:rPr>
        <w:t>经费使用根据市外办批准的因公临时出国（境）计划，严格执行《合肥市市直党政机关因公临时出国经费管理办法》（合政办〔2014〕8号）</w:t>
      </w:r>
      <w:r>
        <w:rPr>
          <w:rFonts w:hint="eastAsia"/>
          <w:bCs/>
          <w:color w:val="auto"/>
          <w:szCs w:val="20"/>
          <w:lang w:eastAsia="zh-CN"/>
        </w:rPr>
        <w:t>、</w:t>
      </w:r>
      <w:r>
        <w:rPr>
          <w:rFonts w:hint="eastAsia"/>
          <w:bCs/>
          <w:color w:val="auto"/>
          <w:szCs w:val="20"/>
        </w:rPr>
        <w:t>《关于转发</w:t>
      </w:r>
      <w:r>
        <w:rPr>
          <w:rFonts w:hint="eastAsia" w:eastAsia="仿宋"/>
          <w:bCs/>
          <w:color w:val="auto"/>
          <w:szCs w:val="20"/>
        </w:rPr>
        <w:t>〈安徽省省直党政机关因公短期出国培训费用管理办法〉的通知</w:t>
      </w:r>
      <w:r>
        <w:rPr>
          <w:rFonts w:hint="eastAsia"/>
          <w:bCs/>
          <w:color w:val="auto"/>
          <w:szCs w:val="20"/>
        </w:rPr>
        <w:t>》（合财行〔2014〕944号）等相关规定。2025年，参加（组织）因公出国（境）团组</w:t>
      </w:r>
      <w:r>
        <w:rPr>
          <w:rFonts w:hint="eastAsia"/>
          <w:bCs/>
          <w:color w:val="auto"/>
          <w:szCs w:val="20"/>
          <w:lang w:val="en-US" w:eastAsia="zh-CN"/>
        </w:rPr>
        <w:t>0</w:t>
      </w:r>
      <w:r>
        <w:rPr>
          <w:rFonts w:hint="eastAsia"/>
          <w:bCs/>
          <w:color w:val="auto"/>
          <w:szCs w:val="20"/>
        </w:rPr>
        <w:t>个，</w:t>
      </w:r>
      <w:r>
        <w:rPr>
          <w:rFonts w:hint="eastAsia"/>
          <w:bCs/>
          <w:color w:val="auto"/>
          <w:szCs w:val="20"/>
          <w:lang w:val="en-US" w:eastAsia="zh-CN"/>
        </w:rPr>
        <w:t>0</w:t>
      </w:r>
      <w:r>
        <w:rPr>
          <w:rFonts w:hint="eastAsia"/>
          <w:bCs/>
          <w:color w:val="auto"/>
          <w:szCs w:val="20"/>
        </w:rPr>
        <w:t>人次。</w:t>
      </w:r>
    </w:p>
    <w:p w14:paraId="3A4F25B1">
      <w:pPr>
        <w:numPr>
          <w:ilvl w:val="0"/>
          <w:numId w:val="0"/>
        </w:numPr>
        <w:ind w:firstLine="643" w:firstLineChars="200"/>
        <w:rPr>
          <w:rFonts w:hint="eastAsia" w:ascii="宋体" w:hAnsi="宋体"/>
          <w:bCs/>
          <w:color w:val="auto"/>
          <w:spacing w:val="2"/>
          <w:szCs w:val="32"/>
        </w:rPr>
      </w:pPr>
      <w:r>
        <w:rPr>
          <w:rFonts w:hint="eastAsia"/>
          <w:bCs/>
          <w:color w:val="auto"/>
          <w:szCs w:val="20"/>
        </w:rPr>
        <w:t>2．公</w:t>
      </w:r>
      <w:r>
        <w:rPr>
          <w:rFonts w:hint="eastAsia"/>
          <w:bCs/>
          <w:color w:val="auto"/>
          <w:spacing w:val="2"/>
          <w:szCs w:val="32"/>
        </w:rPr>
        <w:t>务接待费预算为</w:t>
      </w:r>
      <w:r>
        <w:rPr>
          <w:rFonts w:hint="eastAsia"/>
          <w:bCs/>
          <w:color w:val="auto"/>
          <w:spacing w:val="2"/>
          <w:szCs w:val="32"/>
          <w:lang w:val="en-US" w:eastAsia="zh-CN"/>
        </w:rPr>
        <w:t>1.00</w:t>
      </w:r>
      <w:r>
        <w:rPr>
          <w:rFonts w:hint="eastAsia"/>
          <w:bCs/>
          <w:color w:val="auto"/>
          <w:spacing w:val="2"/>
          <w:szCs w:val="32"/>
        </w:rPr>
        <w:t>万元，支出决算为</w:t>
      </w:r>
      <w:r>
        <w:rPr>
          <w:rFonts w:hint="eastAsia"/>
          <w:bCs/>
          <w:color w:val="auto"/>
          <w:spacing w:val="2"/>
          <w:szCs w:val="32"/>
          <w:lang w:val="en-US" w:eastAsia="zh-CN"/>
        </w:rPr>
        <w:t>0.16</w:t>
      </w:r>
      <w:r>
        <w:rPr>
          <w:rFonts w:hint="eastAsia"/>
          <w:bCs/>
          <w:color w:val="auto"/>
          <w:spacing w:val="2"/>
          <w:szCs w:val="32"/>
        </w:rPr>
        <w:t>万元，完成预算的</w:t>
      </w:r>
      <w:r>
        <w:rPr>
          <w:rFonts w:hint="eastAsia"/>
          <w:bCs/>
          <w:color w:val="auto"/>
          <w:spacing w:val="2"/>
          <w:szCs w:val="32"/>
          <w:lang w:val="en-US" w:eastAsia="zh-CN"/>
        </w:rPr>
        <w:t>16.00</w:t>
      </w:r>
      <w:r>
        <w:rPr>
          <w:rFonts w:hint="eastAsia"/>
          <w:bCs/>
          <w:color w:val="auto"/>
          <w:spacing w:val="2"/>
          <w:szCs w:val="32"/>
        </w:rPr>
        <w:t>%；较上年减少</w:t>
      </w:r>
      <w:r>
        <w:rPr>
          <w:rFonts w:hint="eastAsia"/>
          <w:bCs/>
          <w:color w:val="auto"/>
          <w:spacing w:val="2"/>
          <w:szCs w:val="32"/>
          <w:lang w:val="en-US" w:eastAsia="zh-CN"/>
        </w:rPr>
        <w:t>0.23</w:t>
      </w:r>
      <w:r>
        <w:rPr>
          <w:rFonts w:hint="eastAsia"/>
          <w:bCs/>
          <w:color w:val="auto"/>
          <w:spacing w:val="2"/>
          <w:szCs w:val="32"/>
        </w:rPr>
        <w:t>万元</w:t>
      </w:r>
      <w:r>
        <w:rPr>
          <w:rFonts w:hint="eastAsia"/>
          <w:bCs/>
          <w:color w:val="auto"/>
          <w:spacing w:val="2"/>
          <w:szCs w:val="32"/>
          <w:lang w:eastAsia="zh-CN"/>
        </w:rPr>
        <w:t>，</w:t>
      </w:r>
      <w:r>
        <w:rPr>
          <w:rFonts w:hint="eastAsia"/>
          <w:bCs/>
          <w:color w:val="auto"/>
          <w:spacing w:val="2"/>
          <w:szCs w:val="32"/>
        </w:rPr>
        <w:t>下降</w:t>
      </w:r>
      <w:r>
        <w:rPr>
          <w:rFonts w:hint="eastAsia"/>
          <w:bCs/>
          <w:color w:val="auto"/>
          <w:spacing w:val="2"/>
          <w:szCs w:val="32"/>
          <w:lang w:val="en-US" w:eastAsia="zh-CN"/>
        </w:rPr>
        <w:t>58.97</w:t>
      </w:r>
      <w:r>
        <w:rPr>
          <w:rFonts w:hint="eastAsia"/>
          <w:bCs/>
          <w:color w:val="auto"/>
          <w:spacing w:val="2"/>
          <w:szCs w:val="32"/>
        </w:rPr>
        <w:t>%。决算数小于预算数的主要原因是</w:t>
      </w:r>
      <w:r>
        <w:rPr>
          <w:rFonts w:hint="eastAsia" w:ascii="仿宋" w:hAnsi="仿宋" w:eastAsia="仿宋" w:cs="仿宋"/>
          <w:b/>
          <w:bCs/>
          <w:i w:val="0"/>
          <w:iCs w:val="0"/>
          <w:caps w:val="0"/>
          <w:color w:val="auto"/>
          <w:spacing w:val="-4"/>
          <w:sz w:val="32"/>
          <w:szCs w:val="32"/>
          <w:shd w:val="clear" w:color="auto" w:fill="FFFFFF"/>
        </w:rPr>
        <w:t>我单位坚持厉行节约，严格公务接待管理，限定接待人数</w:t>
      </w:r>
      <w:r>
        <w:rPr>
          <w:rFonts w:hint="eastAsia"/>
          <w:bCs/>
          <w:color w:val="auto"/>
          <w:spacing w:val="2"/>
          <w:szCs w:val="32"/>
        </w:rPr>
        <w:t>。决算数较上年减少的主要原因是</w:t>
      </w:r>
      <w:r>
        <w:rPr>
          <w:rFonts w:hint="eastAsia" w:ascii="仿宋" w:hAnsi="仿宋" w:eastAsia="仿宋" w:cs="仿宋"/>
          <w:b/>
          <w:bCs/>
          <w:i w:val="0"/>
          <w:iCs w:val="0"/>
          <w:caps w:val="0"/>
          <w:color w:val="auto"/>
          <w:spacing w:val="-4"/>
          <w:sz w:val="32"/>
          <w:szCs w:val="32"/>
          <w:shd w:val="clear" w:color="auto" w:fill="FFFFFF"/>
        </w:rPr>
        <w:t>我单位坚持厉行节约，严格公务接待管理，限定接待人数</w:t>
      </w:r>
      <w:r>
        <w:rPr>
          <w:rFonts w:hint="eastAsia"/>
          <w:bCs/>
          <w:color w:val="auto"/>
          <w:szCs w:val="20"/>
        </w:rPr>
        <w:t>。</w:t>
      </w:r>
      <w:r>
        <w:rPr>
          <w:rFonts w:hint="eastAsia"/>
          <w:bCs/>
          <w:color w:val="auto"/>
          <w:spacing w:val="2"/>
          <w:szCs w:val="32"/>
        </w:rPr>
        <w:t>主要用于</w:t>
      </w:r>
      <w:r>
        <w:rPr>
          <w:rFonts w:hint="eastAsia" w:ascii="仿宋" w:hAnsi="仿宋" w:eastAsia="仿宋" w:cs="仿宋"/>
          <w:b/>
          <w:bCs/>
          <w:i w:val="0"/>
          <w:iCs w:val="0"/>
          <w:caps w:val="0"/>
          <w:color w:val="auto"/>
          <w:spacing w:val="0"/>
          <w:sz w:val="32"/>
          <w:szCs w:val="32"/>
          <w:shd w:val="clear" w:color="auto" w:fill="FFFFFF"/>
        </w:rPr>
        <w:t>接待上级业务指导、检查调研、以及外地单位来人交流学习等公务往来接待支出</w:t>
      </w:r>
      <w:r>
        <w:rPr>
          <w:rFonts w:hint="eastAsia" w:ascii="仿宋" w:hAnsi="仿宋" w:eastAsia="仿宋" w:cs="仿宋"/>
          <w:b/>
          <w:bCs/>
          <w:i w:val="0"/>
          <w:iCs w:val="0"/>
          <w:caps w:val="0"/>
          <w:color w:val="auto"/>
          <w:spacing w:val="0"/>
          <w:sz w:val="32"/>
          <w:szCs w:val="32"/>
          <w:shd w:val="clear" w:color="auto" w:fill="FFFFFF"/>
          <w:lang w:eastAsia="zh-CN"/>
        </w:rPr>
        <w:t>。</w:t>
      </w:r>
      <w:r>
        <w:rPr>
          <w:rFonts w:hint="eastAsia"/>
          <w:bCs/>
          <w:color w:val="auto"/>
          <w:spacing w:val="2"/>
          <w:szCs w:val="32"/>
        </w:rPr>
        <w:t>经费使用严格执行《党政机关厉行节约反对浪费</w:t>
      </w:r>
      <w:r>
        <w:rPr>
          <w:rFonts w:hint="eastAsia" w:ascii="宋体" w:hAnsi="宋体"/>
          <w:bCs/>
          <w:color w:val="auto"/>
          <w:spacing w:val="2"/>
          <w:szCs w:val="32"/>
        </w:rPr>
        <w:t>条例》《合肥市市直机关公务接待费管理暂行办法》（合财行〔2015〕64号）等相关规定。2025年，国内公务接待共</w:t>
      </w:r>
      <w:r>
        <w:rPr>
          <w:rFonts w:hint="eastAsia" w:ascii="宋体" w:hAnsi="宋体"/>
          <w:bCs/>
          <w:color w:val="auto"/>
          <w:spacing w:val="2"/>
          <w:szCs w:val="32"/>
          <w:lang w:val="en-US" w:eastAsia="zh-CN"/>
        </w:rPr>
        <w:t>2</w:t>
      </w:r>
      <w:r>
        <w:rPr>
          <w:rFonts w:hint="eastAsia" w:ascii="宋体" w:hAnsi="宋体"/>
          <w:bCs/>
          <w:color w:val="auto"/>
          <w:spacing w:val="2"/>
          <w:szCs w:val="32"/>
        </w:rPr>
        <w:t>批，</w:t>
      </w:r>
      <w:r>
        <w:rPr>
          <w:rFonts w:hint="eastAsia" w:ascii="宋体" w:hAnsi="宋体"/>
          <w:bCs/>
          <w:color w:val="auto"/>
          <w:spacing w:val="2"/>
          <w:szCs w:val="32"/>
          <w:lang w:val="en-US" w:eastAsia="zh-CN"/>
        </w:rPr>
        <w:t>13</w:t>
      </w:r>
      <w:r>
        <w:rPr>
          <w:rFonts w:hint="eastAsia" w:ascii="宋体" w:hAnsi="宋体"/>
          <w:bCs/>
          <w:color w:val="auto"/>
          <w:spacing w:val="2"/>
          <w:szCs w:val="32"/>
        </w:rPr>
        <w:t>人次（其中：外事接待共</w:t>
      </w:r>
      <w:r>
        <w:rPr>
          <w:rFonts w:hint="eastAsia" w:ascii="宋体" w:hAnsi="宋体"/>
          <w:bCs/>
          <w:color w:val="auto"/>
          <w:spacing w:val="2"/>
          <w:szCs w:val="32"/>
          <w:lang w:val="en-US" w:eastAsia="zh-CN"/>
        </w:rPr>
        <w:t>0</w:t>
      </w:r>
      <w:r>
        <w:rPr>
          <w:rFonts w:hint="eastAsia" w:ascii="宋体" w:hAnsi="宋体"/>
          <w:bCs/>
          <w:color w:val="auto"/>
          <w:spacing w:val="2"/>
          <w:szCs w:val="32"/>
        </w:rPr>
        <w:t>批，</w:t>
      </w:r>
      <w:r>
        <w:rPr>
          <w:rFonts w:hint="eastAsia" w:ascii="宋体" w:hAnsi="宋体"/>
          <w:bCs/>
          <w:color w:val="auto"/>
          <w:spacing w:val="2"/>
          <w:szCs w:val="32"/>
          <w:lang w:val="en-US" w:eastAsia="zh-CN"/>
        </w:rPr>
        <w:t>0</w:t>
      </w:r>
      <w:r>
        <w:rPr>
          <w:rFonts w:hint="eastAsia" w:ascii="宋体" w:hAnsi="宋体"/>
          <w:bCs/>
          <w:color w:val="auto"/>
          <w:spacing w:val="2"/>
          <w:szCs w:val="32"/>
        </w:rPr>
        <w:t>人次）（不包括陪同人员）。</w:t>
      </w:r>
    </w:p>
    <w:p w14:paraId="270DA0A3">
      <w:pPr>
        <w:numPr>
          <w:ilvl w:val="0"/>
          <w:numId w:val="0"/>
        </w:numPr>
        <w:ind w:firstLine="651" w:firstLineChars="200"/>
        <w:rPr>
          <w:rFonts w:hint="eastAsia" w:ascii="宋体" w:hAnsi="宋体"/>
          <w:bCs/>
          <w:color w:val="auto"/>
          <w:spacing w:val="2"/>
          <w:szCs w:val="32"/>
        </w:rPr>
      </w:pPr>
      <w:r>
        <w:rPr>
          <w:rFonts w:hint="eastAsia" w:ascii="宋体" w:hAnsi="宋体"/>
          <w:bCs/>
          <w:color w:val="auto"/>
          <w:spacing w:val="2"/>
          <w:szCs w:val="32"/>
        </w:rPr>
        <w:t>3．公务用车购置及运行维护费预算为</w:t>
      </w:r>
      <w:r>
        <w:rPr>
          <w:rFonts w:hint="eastAsia" w:ascii="宋体" w:hAnsi="宋体"/>
          <w:bCs/>
          <w:color w:val="auto"/>
          <w:spacing w:val="2"/>
          <w:szCs w:val="32"/>
          <w:lang w:val="en-US" w:eastAsia="zh-CN"/>
        </w:rPr>
        <w:t>0</w:t>
      </w:r>
      <w:r>
        <w:rPr>
          <w:rFonts w:hint="eastAsia" w:ascii="宋体" w:hAnsi="宋体"/>
          <w:bCs/>
          <w:color w:val="auto"/>
          <w:spacing w:val="2"/>
          <w:szCs w:val="32"/>
        </w:rPr>
        <w:t>万元，支出决算为</w:t>
      </w:r>
      <w:r>
        <w:rPr>
          <w:rFonts w:hint="eastAsia" w:ascii="宋体" w:hAnsi="宋体"/>
          <w:bCs/>
          <w:color w:val="auto"/>
          <w:spacing w:val="2"/>
          <w:szCs w:val="32"/>
          <w:lang w:val="en-US" w:eastAsia="zh-CN"/>
        </w:rPr>
        <w:t>0</w:t>
      </w:r>
      <w:r>
        <w:rPr>
          <w:rFonts w:hint="eastAsia" w:ascii="宋体" w:hAnsi="宋体"/>
          <w:bCs/>
          <w:color w:val="auto"/>
          <w:spacing w:val="2"/>
          <w:szCs w:val="32"/>
        </w:rPr>
        <w:t>万元，</w:t>
      </w:r>
      <w:r>
        <w:rPr>
          <w:rFonts w:hint="eastAsia"/>
          <w:bCs/>
          <w:color w:val="auto"/>
          <w:szCs w:val="32"/>
          <w:lang w:val="en-US" w:eastAsia="zh-CN"/>
        </w:rPr>
        <w:t>决算数与预算数持平；与上年持平。</w:t>
      </w:r>
      <w:r>
        <w:rPr>
          <w:rFonts w:hint="eastAsia" w:ascii="仿宋" w:hAnsi="仿宋" w:eastAsia="仿宋" w:cs="仿宋"/>
          <w:b/>
          <w:bCs/>
          <w:i w:val="0"/>
          <w:iCs w:val="0"/>
          <w:caps w:val="0"/>
          <w:color w:val="auto"/>
          <w:spacing w:val="0"/>
          <w:sz w:val="32"/>
          <w:szCs w:val="32"/>
          <w:shd w:val="clear" w:color="auto" w:fill="FFFFFF"/>
        </w:rPr>
        <w:t>决算数</w:t>
      </w:r>
      <w:r>
        <w:rPr>
          <w:rFonts w:hint="eastAsia" w:ascii="仿宋" w:hAnsi="仿宋" w:eastAsia="仿宋" w:cs="仿宋"/>
          <w:b/>
          <w:bCs/>
          <w:i w:val="0"/>
          <w:iCs w:val="0"/>
          <w:caps w:val="0"/>
          <w:color w:val="auto"/>
          <w:spacing w:val="0"/>
          <w:sz w:val="32"/>
          <w:szCs w:val="32"/>
          <w:shd w:val="clear" w:color="auto" w:fill="FFFFFF"/>
          <w:lang w:val="en-US" w:eastAsia="zh-CN"/>
        </w:rPr>
        <w:t>与</w:t>
      </w:r>
      <w:r>
        <w:rPr>
          <w:rFonts w:hint="eastAsia" w:ascii="仿宋" w:hAnsi="仿宋" w:eastAsia="仿宋" w:cs="仿宋"/>
          <w:b/>
          <w:bCs/>
          <w:i w:val="0"/>
          <w:iCs w:val="0"/>
          <w:caps w:val="0"/>
          <w:color w:val="auto"/>
          <w:spacing w:val="0"/>
          <w:sz w:val="32"/>
          <w:szCs w:val="32"/>
          <w:shd w:val="clear" w:color="auto" w:fill="FFFFFF"/>
        </w:rPr>
        <w:t>预算数</w:t>
      </w:r>
      <w:r>
        <w:rPr>
          <w:rFonts w:hint="eastAsia" w:ascii="仿宋" w:hAnsi="仿宋" w:eastAsia="仿宋" w:cs="仿宋"/>
          <w:b/>
          <w:bCs/>
          <w:i w:val="0"/>
          <w:iCs w:val="0"/>
          <w:caps w:val="0"/>
          <w:color w:val="auto"/>
          <w:spacing w:val="0"/>
          <w:sz w:val="32"/>
          <w:szCs w:val="32"/>
          <w:shd w:val="clear" w:color="auto" w:fill="FFFFFF"/>
          <w:lang w:val="en-US" w:eastAsia="zh-CN"/>
        </w:rPr>
        <w:t>持平</w:t>
      </w:r>
      <w:r>
        <w:rPr>
          <w:rFonts w:hint="eastAsia" w:ascii="宋体" w:hAnsi="宋体"/>
          <w:bCs/>
          <w:color w:val="auto"/>
          <w:spacing w:val="2"/>
          <w:szCs w:val="32"/>
        </w:rPr>
        <w:t>的主要原因是202</w:t>
      </w:r>
      <w:r>
        <w:rPr>
          <w:rFonts w:hint="eastAsia" w:ascii="宋体" w:hAnsi="宋体"/>
          <w:bCs/>
          <w:color w:val="auto"/>
          <w:spacing w:val="2"/>
          <w:szCs w:val="32"/>
          <w:lang w:val="en-US" w:eastAsia="zh-CN"/>
        </w:rPr>
        <w:t>5</w:t>
      </w:r>
      <w:r>
        <w:rPr>
          <w:rFonts w:hint="eastAsia" w:ascii="宋体" w:hAnsi="宋体"/>
          <w:bCs/>
          <w:color w:val="auto"/>
          <w:spacing w:val="2"/>
          <w:szCs w:val="32"/>
        </w:rPr>
        <w:t>年我单位没有公务用车购置及运行维护费支出预算安排，也没有实际发生公务用车购置及运行维护费支出。</w:t>
      </w:r>
      <w:r>
        <w:rPr>
          <w:rFonts w:hint="eastAsia" w:ascii="仿宋" w:hAnsi="仿宋" w:eastAsia="仿宋" w:cs="仿宋"/>
          <w:b/>
          <w:bCs/>
          <w:i w:val="0"/>
          <w:iCs w:val="0"/>
          <w:caps w:val="0"/>
          <w:color w:val="auto"/>
          <w:spacing w:val="0"/>
          <w:sz w:val="32"/>
          <w:szCs w:val="32"/>
          <w:shd w:val="clear" w:color="auto" w:fill="FFFFFF"/>
          <w:lang w:val="en-US" w:eastAsia="zh-CN"/>
        </w:rPr>
        <w:t>决算数</w:t>
      </w:r>
      <w:r>
        <w:rPr>
          <w:rFonts w:hint="eastAsia" w:ascii="仿宋" w:hAnsi="仿宋" w:eastAsia="仿宋" w:cs="仿宋"/>
          <w:b/>
          <w:bCs/>
          <w:i w:val="0"/>
          <w:iCs w:val="0"/>
          <w:caps w:val="0"/>
          <w:color w:val="auto"/>
          <w:spacing w:val="0"/>
          <w:sz w:val="32"/>
          <w:szCs w:val="32"/>
          <w:shd w:val="clear" w:color="auto" w:fill="FFFFFF"/>
        </w:rPr>
        <w:t>与上年持平</w:t>
      </w:r>
      <w:r>
        <w:rPr>
          <w:rFonts w:hint="eastAsia" w:ascii="宋体" w:hAnsi="宋体"/>
          <w:bCs/>
          <w:color w:val="auto"/>
          <w:spacing w:val="2"/>
          <w:szCs w:val="32"/>
        </w:rPr>
        <w:t>的主要原因是202</w:t>
      </w:r>
      <w:r>
        <w:rPr>
          <w:rFonts w:hint="eastAsia" w:ascii="宋体" w:hAnsi="宋体"/>
          <w:bCs/>
          <w:color w:val="auto"/>
          <w:spacing w:val="2"/>
          <w:szCs w:val="32"/>
          <w:lang w:val="en-US" w:eastAsia="zh-CN"/>
        </w:rPr>
        <w:t>5</w:t>
      </w:r>
      <w:r>
        <w:rPr>
          <w:rFonts w:hint="eastAsia" w:ascii="宋体" w:hAnsi="宋体"/>
          <w:bCs/>
          <w:color w:val="auto"/>
          <w:spacing w:val="2"/>
          <w:szCs w:val="32"/>
        </w:rPr>
        <w:t>年及上年我单位没有公务用车购置及运行维护费支出预算安排，也没有实际发生公务用车购置及运行维护费支出</w:t>
      </w:r>
      <w:r>
        <w:rPr>
          <w:rFonts w:hint="eastAsia" w:ascii="宋体" w:hAnsi="宋体"/>
          <w:bCs/>
          <w:color w:val="auto"/>
          <w:spacing w:val="2"/>
          <w:szCs w:val="32"/>
          <w:lang w:eastAsia="zh-CN"/>
        </w:rPr>
        <w:t>。</w:t>
      </w:r>
      <w:r>
        <w:rPr>
          <w:rFonts w:hint="eastAsia" w:ascii="宋体" w:hAnsi="宋体"/>
          <w:bCs/>
          <w:color w:val="auto"/>
          <w:spacing w:val="2"/>
          <w:szCs w:val="32"/>
        </w:rPr>
        <w:t>经费使用严格按照省市公务用车配备管理相关规定执行。其中：</w:t>
      </w:r>
    </w:p>
    <w:p w14:paraId="6EAD01EE">
      <w:pPr>
        <w:numPr>
          <w:ilvl w:val="0"/>
          <w:numId w:val="0"/>
        </w:numPr>
        <w:ind w:firstLine="651" w:firstLineChars="200"/>
        <w:rPr>
          <w:rFonts w:hint="eastAsia" w:ascii="宋体" w:hAnsi="宋体"/>
          <w:bCs/>
          <w:color w:val="auto"/>
          <w:spacing w:val="2"/>
          <w:szCs w:val="32"/>
        </w:rPr>
      </w:pPr>
      <w:r>
        <w:rPr>
          <w:rFonts w:hint="eastAsia" w:ascii="宋体" w:hAnsi="宋体"/>
          <w:bCs/>
          <w:color w:val="auto"/>
          <w:spacing w:val="2"/>
          <w:szCs w:val="32"/>
        </w:rPr>
        <w:t>公务用车购置费预算为0万元，支出决算为0万元，</w:t>
      </w:r>
      <w:r>
        <w:rPr>
          <w:rFonts w:hint="eastAsia"/>
          <w:bCs/>
          <w:color w:val="auto"/>
          <w:szCs w:val="32"/>
          <w:lang w:val="en-US" w:eastAsia="zh-CN"/>
        </w:rPr>
        <w:t>决算数与预算数持平；与上年持平。</w:t>
      </w:r>
      <w:r>
        <w:rPr>
          <w:rFonts w:hint="eastAsia" w:ascii="仿宋" w:hAnsi="仿宋" w:eastAsia="仿宋" w:cs="仿宋"/>
          <w:b/>
          <w:bCs/>
          <w:i w:val="0"/>
          <w:iCs w:val="0"/>
          <w:caps w:val="0"/>
          <w:color w:val="auto"/>
          <w:spacing w:val="0"/>
          <w:sz w:val="32"/>
          <w:szCs w:val="32"/>
          <w:shd w:val="clear" w:color="auto" w:fill="FFFFFF"/>
        </w:rPr>
        <w:t>决算数</w:t>
      </w:r>
      <w:r>
        <w:rPr>
          <w:rFonts w:hint="eastAsia" w:ascii="仿宋" w:hAnsi="仿宋" w:eastAsia="仿宋" w:cs="仿宋"/>
          <w:b/>
          <w:bCs/>
          <w:i w:val="0"/>
          <w:iCs w:val="0"/>
          <w:caps w:val="0"/>
          <w:color w:val="auto"/>
          <w:spacing w:val="0"/>
          <w:sz w:val="32"/>
          <w:szCs w:val="32"/>
          <w:shd w:val="clear" w:color="auto" w:fill="FFFFFF"/>
          <w:lang w:val="en-US" w:eastAsia="zh-CN"/>
        </w:rPr>
        <w:t>与</w:t>
      </w:r>
      <w:r>
        <w:rPr>
          <w:rFonts w:hint="eastAsia" w:ascii="仿宋" w:hAnsi="仿宋" w:eastAsia="仿宋" w:cs="仿宋"/>
          <w:b/>
          <w:bCs/>
          <w:i w:val="0"/>
          <w:iCs w:val="0"/>
          <w:caps w:val="0"/>
          <w:color w:val="auto"/>
          <w:spacing w:val="0"/>
          <w:sz w:val="32"/>
          <w:szCs w:val="32"/>
          <w:shd w:val="clear" w:color="auto" w:fill="FFFFFF"/>
        </w:rPr>
        <w:t>预算数</w:t>
      </w:r>
      <w:r>
        <w:rPr>
          <w:rFonts w:hint="eastAsia" w:ascii="仿宋" w:hAnsi="仿宋" w:eastAsia="仿宋" w:cs="仿宋"/>
          <w:b/>
          <w:bCs/>
          <w:i w:val="0"/>
          <w:iCs w:val="0"/>
          <w:caps w:val="0"/>
          <w:color w:val="auto"/>
          <w:spacing w:val="0"/>
          <w:sz w:val="32"/>
          <w:szCs w:val="32"/>
          <w:shd w:val="clear" w:color="auto" w:fill="FFFFFF"/>
          <w:lang w:val="en-US" w:eastAsia="zh-CN"/>
        </w:rPr>
        <w:t>持平</w:t>
      </w:r>
      <w:r>
        <w:rPr>
          <w:rFonts w:hint="eastAsia" w:ascii="宋体" w:hAnsi="宋体"/>
          <w:bCs/>
          <w:color w:val="auto"/>
          <w:spacing w:val="2"/>
          <w:szCs w:val="32"/>
        </w:rPr>
        <w:t>的主要原因是202</w:t>
      </w:r>
      <w:r>
        <w:rPr>
          <w:rFonts w:hint="eastAsia" w:ascii="宋体" w:hAnsi="宋体"/>
          <w:bCs/>
          <w:color w:val="auto"/>
          <w:spacing w:val="2"/>
          <w:szCs w:val="32"/>
          <w:lang w:val="en-US" w:eastAsia="zh-CN"/>
        </w:rPr>
        <w:t>5</w:t>
      </w:r>
      <w:r>
        <w:rPr>
          <w:rFonts w:hint="eastAsia" w:ascii="宋体" w:hAnsi="宋体"/>
          <w:bCs/>
          <w:color w:val="auto"/>
          <w:spacing w:val="2"/>
          <w:szCs w:val="32"/>
        </w:rPr>
        <w:t>年我单位没有公务用车购置费预算安排，也没有实际发生公务用车购置费支出。</w:t>
      </w:r>
      <w:r>
        <w:rPr>
          <w:rFonts w:hint="eastAsia" w:ascii="仿宋" w:hAnsi="仿宋" w:eastAsia="仿宋" w:cs="仿宋"/>
          <w:b/>
          <w:bCs/>
          <w:i w:val="0"/>
          <w:iCs w:val="0"/>
          <w:caps w:val="0"/>
          <w:color w:val="auto"/>
          <w:spacing w:val="0"/>
          <w:sz w:val="32"/>
          <w:szCs w:val="32"/>
          <w:shd w:val="clear" w:color="auto" w:fill="FFFFFF"/>
          <w:lang w:val="en-US" w:eastAsia="zh-CN"/>
        </w:rPr>
        <w:t>决算数</w:t>
      </w:r>
      <w:r>
        <w:rPr>
          <w:rFonts w:hint="eastAsia" w:ascii="仿宋" w:hAnsi="仿宋" w:eastAsia="仿宋" w:cs="仿宋"/>
          <w:b/>
          <w:bCs/>
          <w:i w:val="0"/>
          <w:iCs w:val="0"/>
          <w:caps w:val="0"/>
          <w:color w:val="auto"/>
          <w:spacing w:val="0"/>
          <w:sz w:val="32"/>
          <w:szCs w:val="32"/>
          <w:shd w:val="clear" w:color="auto" w:fill="FFFFFF"/>
        </w:rPr>
        <w:t>与上年持平</w:t>
      </w:r>
      <w:r>
        <w:rPr>
          <w:rFonts w:hint="eastAsia" w:ascii="宋体" w:hAnsi="宋体"/>
          <w:bCs/>
          <w:color w:val="auto"/>
          <w:spacing w:val="2"/>
          <w:szCs w:val="32"/>
        </w:rPr>
        <w:t>的主要原因是202</w:t>
      </w:r>
      <w:r>
        <w:rPr>
          <w:rFonts w:hint="eastAsia" w:ascii="宋体" w:hAnsi="宋体"/>
          <w:bCs/>
          <w:color w:val="auto"/>
          <w:spacing w:val="2"/>
          <w:szCs w:val="32"/>
          <w:lang w:val="en-US" w:eastAsia="zh-CN"/>
        </w:rPr>
        <w:t>5</w:t>
      </w:r>
      <w:r>
        <w:rPr>
          <w:rFonts w:hint="eastAsia" w:ascii="宋体" w:hAnsi="宋体"/>
          <w:bCs/>
          <w:color w:val="auto"/>
          <w:spacing w:val="2"/>
          <w:szCs w:val="32"/>
        </w:rPr>
        <w:t>年及上年我单位没有公务用车购置费预算安排，也没有实际发生公务用车购置费支出。2025年，购置车辆</w:t>
      </w:r>
      <w:r>
        <w:rPr>
          <w:rFonts w:hint="eastAsia" w:ascii="宋体" w:hAnsi="宋体"/>
          <w:bCs/>
          <w:color w:val="auto"/>
          <w:spacing w:val="2"/>
          <w:szCs w:val="32"/>
          <w:lang w:val="en-US" w:eastAsia="zh-CN"/>
        </w:rPr>
        <w:t>0</w:t>
      </w:r>
      <w:r>
        <w:rPr>
          <w:rFonts w:hint="eastAsia" w:ascii="宋体" w:hAnsi="宋体"/>
          <w:bCs/>
          <w:color w:val="auto"/>
          <w:spacing w:val="2"/>
          <w:szCs w:val="32"/>
        </w:rPr>
        <w:t>辆。</w:t>
      </w:r>
    </w:p>
    <w:p w14:paraId="0FE5CBE9">
      <w:pPr>
        <w:numPr>
          <w:ilvl w:val="0"/>
          <w:numId w:val="0"/>
        </w:numPr>
        <w:ind w:firstLine="651" w:firstLineChars="200"/>
        <w:rPr>
          <w:rFonts w:hint="eastAsia" w:ascii="宋体" w:hAnsi="宋体"/>
          <w:bCs/>
          <w:color w:val="auto"/>
          <w:spacing w:val="2"/>
          <w:szCs w:val="32"/>
        </w:rPr>
      </w:pPr>
      <w:r>
        <w:rPr>
          <w:rFonts w:hint="eastAsia" w:ascii="宋体" w:hAnsi="宋体"/>
          <w:bCs/>
          <w:color w:val="auto"/>
          <w:spacing w:val="2"/>
          <w:szCs w:val="32"/>
          <w:lang w:eastAsia="zh-CN"/>
        </w:rPr>
        <w:t>公</w:t>
      </w:r>
      <w:r>
        <w:rPr>
          <w:rFonts w:hint="eastAsia" w:ascii="宋体" w:hAnsi="宋体"/>
          <w:bCs/>
          <w:color w:val="auto"/>
          <w:spacing w:val="2"/>
          <w:szCs w:val="32"/>
        </w:rPr>
        <w:t>务用车运</w:t>
      </w:r>
      <w:bookmarkStart w:id="0" w:name="_GoBack"/>
      <w:bookmarkEnd w:id="0"/>
      <w:r>
        <w:rPr>
          <w:rFonts w:hint="eastAsia" w:ascii="宋体" w:hAnsi="宋体"/>
          <w:bCs/>
          <w:color w:val="auto"/>
          <w:spacing w:val="2"/>
          <w:szCs w:val="32"/>
        </w:rPr>
        <w:t>行维护费预算为0万元，支出决算为0万元，</w:t>
      </w:r>
      <w:r>
        <w:rPr>
          <w:rFonts w:hint="eastAsia"/>
          <w:bCs/>
          <w:color w:val="auto"/>
          <w:szCs w:val="32"/>
          <w:lang w:val="en-US" w:eastAsia="zh-CN"/>
        </w:rPr>
        <w:t>决算数与预算数持平；与上年持平。</w:t>
      </w:r>
      <w:r>
        <w:rPr>
          <w:rFonts w:hint="eastAsia" w:ascii="仿宋" w:hAnsi="仿宋" w:eastAsia="仿宋" w:cs="仿宋"/>
          <w:b/>
          <w:bCs/>
          <w:i w:val="0"/>
          <w:iCs w:val="0"/>
          <w:caps w:val="0"/>
          <w:color w:val="auto"/>
          <w:spacing w:val="0"/>
          <w:sz w:val="32"/>
          <w:szCs w:val="32"/>
          <w:shd w:val="clear" w:color="auto" w:fill="FFFFFF"/>
        </w:rPr>
        <w:t>决算数</w:t>
      </w:r>
      <w:r>
        <w:rPr>
          <w:rFonts w:hint="eastAsia" w:ascii="仿宋" w:hAnsi="仿宋" w:eastAsia="仿宋" w:cs="仿宋"/>
          <w:b/>
          <w:bCs/>
          <w:i w:val="0"/>
          <w:iCs w:val="0"/>
          <w:caps w:val="0"/>
          <w:color w:val="auto"/>
          <w:spacing w:val="0"/>
          <w:sz w:val="32"/>
          <w:szCs w:val="32"/>
          <w:shd w:val="clear" w:color="auto" w:fill="FFFFFF"/>
          <w:lang w:val="en-US" w:eastAsia="zh-CN"/>
        </w:rPr>
        <w:t>与</w:t>
      </w:r>
      <w:r>
        <w:rPr>
          <w:rFonts w:hint="eastAsia" w:ascii="仿宋" w:hAnsi="仿宋" w:eastAsia="仿宋" w:cs="仿宋"/>
          <w:b/>
          <w:bCs/>
          <w:i w:val="0"/>
          <w:iCs w:val="0"/>
          <w:caps w:val="0"/>
          <w:color w:val="auto"/>
          <w:spacing w:val="0"/>
          <w:sz w:val="32"/>
          <w:szCs w:val="32"/>
          <w:shd w:val="clear" w:color="auto" w:fill="FFFFFF"/>
        </w:rPr>
        <w:t>预算数</w:t>
      </w:r>
      <w:r>
        <w:rPr>
          <w:rFonts w:hint="eastAsia" w:ascii="仿宋" w:hAnsi="仿宋" w:eastAsia="仿宋" w:cs="仿宋"/>
          <w:b/>
          <w:bCs/>
          <w:i w:val="0"/>
          <w:iCs w:val="0"/>
          <w:caps w:val="0"/>
          <w:color w:val="auto"/>
          <w:spacing w:val="0"/>
          <w:sz w:val="32"/>
          <w:szCs w:val="32"/>
          <w:shd w:val="clear" w:color="auto" w:fill="FFFFFF"/>
          <w:lang w:val="en-US" w:eastAsia="zh-CN"/>
        </w:rPr>
        <w:t>持平</w:t>
      </w:r>
      <w:r>
        <w:rPr>
          <w:rFonts w:hint="eastAsia" w:ascii="宋体" w:hAnsi="宋体"/>
          <w:bCs/>
          <w:color w:val="auto"/>
          <w:spacing w:val="2"/>
          <w:szCs w:val="32"/>
        </w:rPr>
        <w:t>的主要原因是202</w:t>
      </w:r>
      <w:r>
        <w:rPr>
          <w:rFonts w:hint="eastAsia" w:ascii="宋体" w:hAnsi="宋体"/>
          <w:bCs/>
          <w:color w:val="auto"/>
          <w:spacing w:val="2"/>
          <w:szCs w:val="32"/>
          <w:lang w:val="en-US" w:eastAsia="zh-CN"/>
        </w:rPr>
        <w:t>5</w:t>
      </w:r>
      <w:r>
        <w:rPr>
          <w:rFonts w:hint="eastAsia" w:ascii="宋体" w:hAnsi="宋体"/>
          <w:bCs/>
          <w:color w:val="auto"/>
          <w:spacing w:val="2"/>
          <w:szCs w:val="32"/>
        </w:rPr>
        <w:t>年我单位没有公务用车运行维护费预算安排，也没有实际发生公务用车运行维护费支出。</w:t>
      </w:r>
      <w:r>
        <w:rPr>
          <w:rFonts w:hint="eastAsia" w:ascii="仿宋" w:hAnsi="仿宋" w:eastAsia="仿宋" w:cs="仿宋"/>
          <w:b/>
          <w:bCs/>
          <w:i w:val="0"/>
          <w:iCs w:val="0"/>
          <w:caps w:val="0"/>
          <w:color w:val="auto"/>
          <w:spacing w:val="0"/>
          <w:sz w:val="32"/>
          <w:szCs w:val="32"/>
          <w:shd w:val="clear" w:color="auto" w:fill="FFFFFF"/>
          <w:lang w:val="en-US" w:eastAsia="zh-CN"/>
        </w:rPr>
        <w:t>决算数</w:t>
      </w:r>
      <w:r>
        <w:rPr>
          <w:rFonts w:hint="eastAsia" w:ascii="仿宋" w:hAnsi="仿宋" w:eastAsia="仿宋" w:cs="仿宋"/>
          <w:b/>
          <w:bCs/>
          <w:i w:val="0"/>
          <w:iCs w:val="0"/>
          <w:caps w:val="0"/>
          <w:color w:val="auto"/>
          <w:spacing w:val="0"/>
          <w:sz w:val="32"/>
          <w:szCs w:val="32"/>
          <w:shd w:val="clear" w:color="auto" w:fill="FFFFFF"/>
        </w:rPr>
        <w:t>与上年持平</w:t>
      </w:r>
      <w:r>
        <w:rPr>
          <w:rFonts w:hint="eastAsia" w:ascii="宋体" w:hAnsi="宋体"/>
          <w:bCs/>
          <w:color w:val="auto"/>
          <w:spacing w:val="2"/>
          <w:szCs w:val="32"/>
        </w:rPr>
        <w:t>的主要原因是202</w:t>
      </w:r>
      <w:r>
        <w:rPr>
          <w:rFonts w:hint="eastAsia" w:ascii="宋体" w:hAnsi="宋体"/>
          <w:bCs/>
          <w:color w:val="auto"/>
          <w:spacing w:val="2"/>
          <w:szCs w:val="32"/>
          <w:lang w:val="en-US" w:eastAsia="zh-CN"/>
        </w:rPr>
        <w:t>5</w:t>
      </w:r>
      <w:r>
        <w:rPr>
          <w:rFonts w:hint="eastAsia" w:ascii="宋体" w:hAnsi="宋体"/>
          <w:bCs/>
          <w:color w:val="auto"/>
          <w:spacing w:val="2"/>
          <w:szCs w:val="32"/>
        </w:rPr>
        <w:t>年及上年我单位没有公务用车运行维护费预算安排，也没有实际发生公务用车运行维护费支出。公务用车运行维护费，包括车辆燃料费、维修费、过路过桥费、保险费等支出，主要用于外出办理公务事项所需车辆的燃料费、维修费、过路过桥费、保险费等。截至2025年12月31日，肥东县红十字会机关及所属单位一般公共预算及政府性基金预算财政拨款开支的公务用车保有</w:t>
      </w:r>
      <w:r>
        <w:rPr>
          <w:rFonts w:hint="eastAsia"/>
          <w:bCs/>
          <w:color w:val="auto"/>
          <w:spacing w:val="2"/>
          <w:szCs w:val="32"/>
          <w:lang w:val="en-US" w:eastAsia="zh-CN"/>
        </w:rPr>
        <w:t>数</w:t>
      </w:r>
      <w:r>
        <w:rPr>
          <w:rFonts w:hint="eastAsia" w:ascii="宋体" w:hAnsi="宋体"/>
          <w:bCs/>
          <w:color w:val="auto"/>
          <w:spacing w:val="2"/>
          <w:szCs w:val="32"/>
        </w:rPr>
        <w:t>为0辆。</w:t>
      </w:r>
    </w:p>
    <w:p w14:paraId="3B80C868">
      <w:pPr>
        <w:ind w:firstLine="643" w:firstLineChars="200"/>
        <w:rPr>
          <w:rFonts w:hint="eastAsia" w:eastAsia="黑体"/>
          <w:color w:val="auto"/>
          <w:szCs w:val="36"/>
        </w:rPr>
      </w:pPr>
    </w:p>
    <w:p w14:paraId="6F03C1F3">
      <w:pPr>
        <w:pStyle w:val="2"/>
        <w:numPr>
          <w:ilvl w:val="0"/>
          <w:numId w:val="0"/>
        </w:numPr>
        <w:ind w:leftChars="200"/>
        <w:jc w:val="both"/>
        <w:rPr>
          <w:color w:val="auto"/>
        </w:rPr>
      </w:pPr>
    </w:p>
    <w:p w14:paraId="6E6F0BAE">
      <w:pPr>
        <w:rPr>
          <w:color w:val="auto"/>
        </w:rPr>
      </w:pPr>
    </w:p>
    <w:sectPr>
      <w:pgSz w:w="11906" w:h="16838"/>
      <w:pgMar w:top="2098" w:right="1531" w:bottom="1871" w:left="1531" w:header="851" w:footer="1474" w:gutter="0"/>
      <w:cols w:space="720" w:num="1"/>
      <w:docGrid w:type="lines" w:linePitch="584" w:charSpace="-11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FE5675"/>
    <w:multiLevelType w:val="singleLevel"/>
    <w:tmpl w:val="EBFE5675"/>
    <w:lvl w:ilvl="0" w:tentative="0">
      <w:start w:val="1"/>
      <w:numFmt w:val="decimal"/>
      <w:suff w:val="nothing"/>
      <w:lvlText w:val="%1．"/>
      <w:lvlJc w:val="left"/>
    </w:lvl>
  </w:abstractNum>
  <w:abstractNum w:abstractNumId="1">
    <w:nsid w:val="67EE7F65"/>
    <w:multiLevelType w:val="singleLevel"/>
    <w:tmpl w:val="67EE7F65"/>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DD0428"/>
    <w:rsid w:val="1EDD0428"/>
    <w:rsid w:val="2E151D23"/>
    <w:rsid w:val="3FBE9797"/>
    <w:rsid w:val="6EFC5E06"/>
    <w:rsid w:val="709267F8"/>
    <w:rsid w:val="7DE89C77"/>
    <w:rsid w:val="7DFF8B0C"/>
    <w:rsid w:val="7EEE7A2F"/>
    <w:rsid w:val="85F6E7D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仿宋_GB2312" w:cs="Times New Roman"/>
      <w:b/>
      <w:kern w:val="2"/>
      <w:sz w:val="32"/>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First Indent"/>
    <w:basedOn w:val="1"/>
    <w:unhideWhenUsed/>
    <w:qFormat/>
    <w:uiPriority w:val="99"/>
    <w:pPr>
      <w:ind w:firstLine="420" w:firstLineChars="100"/>
      <w:jc w:val="center"/>
    </w:pPr>
    <w:rPr>
      <w:rFonts w:ascii="Times New Roman" w:hAnsi="Times New Roman" w:eastAsia="黑体"/>
      <w:sz w:val="36"/>
      <w:szCs w:val="3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1216</Words>
  <Characters>1326</Characters>
  <Lines>0</Lines>
  <Paragraphs>0</Paragraphs>
  <TotalTime>14</TotalTime>
  <ScaleCrop>false</ScaleCrop>
  <LinksUpToDate>false</LinksUpToDate>
  <CharactersWithSpaces>1374</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2026-07-21T09:54:00Z</dcterms:created>
  <dc:creator>admin</dc:creator>
  <cp:lastModifiedBy>admin</cp:lastModifiedBy>
  <dcterms:modified xsi:type="dcterms:W3CDTF">2026-09-24T16:21:19Z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029E478D37F74961830884A94676D80F_13</vt:lpwstr>
  </property>
  <property fmtid="{D5CDD505-2E9C-101B-9397-08002B2CF9AE}" pid="4" name="KSOTemplateDocerSaveRecord">
    <vt:lpwstr>eyJoZGlkIjoiOGZhZDcwNDc5MzZhZTA2NDBhYmU5NTYwNzFhOWQ4N2YiLCJ1c2VySWQiOiIxMjczOTExNjY2In0=</vt:lpwstr>
  </property>
</Properties>
</file>