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Times New Roman" w:hAnsi="Times New Roman" w:cs="Times New Roman"/>
          <w:i w:val="0"/>
          <w:iCs w:val="0"/>
          <w:caps w:val="0"/>
          <w:color w:val="auto"/>
          <w:spacing w:val="0"/>
          <w:sz w:val="32"/>
          <w:szCs w:val="32"/>
        </w:rPr>
      </w:pPr>
      <w:r>
        <w:rPr>
          <w:rFonts w:ascii="方正小标宋简体" w:hAnsi="方正小标宋简体" w:eastAsia="方正小标宋简体" w:cs="方正小标宋简体"/>
          <w:b/>
          <w:bCs/>
          <w:i w:val="0"/>
          <w:iCs w:val="0"/>
          <w:caps w:val="0"/>
          <w:color w:val="auto"/>
          <w:spacing w:val="0"/>
          <w:sz w:val="44"/>
          <w:szCs w:val="44"/>
          <w:shd w:val="clear" w:fill="FFFFFF"/>
        </w:rPr>
        <w:t>肥东县红十字会</w:t>
      </w:r>
      <w:r>
        <w:rPr>
          <w:rFonts w:hint="default" w:ascii="Times New Roman" w:hAnsi="Times New Roman" w:eastAsia="方正小标宋简体" w:cs="Times New Roman"/>
          <w:b/>
          <w:bCs/>
          <w:i w:val="0"/>
          <w:iCs w:val="0"/>
          <w:caps w:val="0"/>
          <w:color w:val="auto"/>
          <w:spacing w:val="0"/>
          <w:sz w:val="44"/>
          <w:szCs w:val="44"/>
          <w:shd w:val="clear" w:fill="FFFFFF"/>
        </w:rPr>
        <w:t>2024</w:t>
      </w:r>
      <w:r>
        <w:rPr>
          <w:rFonts w:hint="default" w:ascii="方正小标宋简体" w:hAnsi="方正小标宋简体" w:eastAsia="方正小标宋简体" w:cs="方正小标宋简体"/>
          <w:b/>
          <w:bCs/>
          <w:i w:val="0"/>
          <w:iCs w:val="0"/>
          <w:caps w:val="0"/>
          <w:color w:val="auto"/>
          <w:spacing w:val="0"/>
          <w:sz w:val="44"/>
          <w:szCs w:val="44"/>
          <w:shd w:val="clear" w:fill="FFFFFF"/>
        </w:rPr>
        <w:t>年度一般公共预算及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Times New Roman" w:hAnsi="Times New Roman" w:cs="Times New Roman"/>
          <w:i w:val="0"/>
          <w:iCs w:val="0"/>
          <w:caps w:val="0"/>
          <w:color w:val="auto"/>
          <w:spacing w:val="0"/>
          <w:sz w:val="32"/>
          <w:szCs w:val="32"/>
        </w:rPr>
      </w:pPr>
      <w:r>
        <w:rPr>
          <w:rFonts w:hint="default" w:ascii="方正小标宋简体" w:hAnsi="方正小标宋简体" w:eastAsia="方正小标宋简体" w:cs="方正小标宋简体"/>
          <w:b/>
          <w:bCs/>
          <w:i w:val="0"/>
          <w:iCs w:val="0"/>
          <w:caps w:val="0"/>
          <w:color w:val="auto"/>
          <w:spacing w:val="0"/>
          <w:sz w:val="44"/>
          <w:szCs w:val="44"/>
          <w:shd w:val="clear" w:fill="FFFFFF"/>
        </w:rPr>
        <w:t>政府性基金预算财政拨款“三公”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Times New Roman" w:hAnsi="Times New Roman" w:cs="Times New Roman"/>
          <w:i w:val="0"/>
          <w:iCs w:val="0"/>
          <w:caps w:val="0"/>
          <w:color w:val="auto"/>
          <w:spacing w:val="0"/>
          <w:sz w:val="32"/>
          <w:szCs w:val="32"/>
        </w:rPr>
      </w:pPr>
      <w:r>
        <w:rPr>
          <w:rFonts w:hint="default" w:ascii="方正小标宋简体" w:hAnsi="方正小标宋简体" w:eastAsia="方正小标宋简体" w:cs="方正小标宋简体"/>
          <w:b/>
          <w:bCs/>
          <w:i w:val="0"/>
          <w:iCs w:val="0"/>
          <w:caps w:val="0"/>
          <w:color w:val="auto"/>
          <w:spacing w:val="0"/>
          <w:sz w:val="44"/>
          <w:szCs w:val="44"/>
          <w:shd w:val="clear" w:fill="FFFFFF"/>
        </w:rPr>
        <w:t>经费支出决算情况说明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ascii="黑体" w:hAnsi="宋体" w:eastAsia="黑体" w:cs="黑体"/>
          <w:b/>
          <w:bCs/>
          <w:i w:val="0"/>
          <w:iCs w:val="0"/>
          <w:caps w:val="0"/>
          <w:color w:val="auto"/>
          <w:spacing w:val="0"/>
          <w:sz w:val="32"/>
          <w:szCs w:val="32"/>
          <w:shd w:val="clear" w:fill="FFFFFF"/>
        </w:rPr>
        <w:t>一、</w:t>
      </w:r>
      <w:r>
        <w:rPr>
          <w:rFonts w:hint="default" w:ascii="Times New Roman" w:hAnsi="Times New Roman" w:eastAsia="黑体" w:cs="Times New Roman"/>
          <w:b/>
          <w:bCs/>
          <w:i w:val="0"/>
          <w:iCs w:val="0"/>
          <w:caps w:val="0"/>
          <w:color w:val="auto"/>
          <w:spacing w:val="0"/>
          <w:sz w:val="32"/>
          <w:szCs w:val="32"/>
          <w:shd w:val="clear" w:fill="FFFFFF"/>
        </w:rPr>
        <w:t>2024</w:t>
      </w:r>
      <w:r>
        <w:rPr>
          <w:rFonts w:hint="eastAsia" w:ascii="黑体" w:hAnsi="宋体" w:eastAsia="黑体" w:cs="黑体"/>
          <w:b/>
          <w:bCs/>
          <w:i w:val="0"/>
          <w:iCs w:val="0"/>
          <w:caps w:val="0"/>
          <w:color w:val="auto"/>
          <w:spacing w:val="0"/>
          <w:sz w:val="32"/>
          <w:szCs w:val="32"/>
          <w:shd w:val="clear" w:fill="FFFFFF"/>
        </w:rPr>
        <w:t>年度一般公共预算及政府性基金预算财政拨款“三公”经费支出决算表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21"/>
          <w:szCs w:val="21"/>
          <w:shd w:val="clear" w:fill="FFFFFF"/>
        </w:rPr>
        <w:t>编制单位：肥东县红十字         </w:t>
      </w:r>
      <w:r>
        <w:rPr>
          <w:rFonts w:hint="eastAsia" w:ascii="宋体" w:hAnsi="宋体" w:eastAsia="宋体" w:cs="宋体"/>
          <w:b/>
          <w:bCs/>
          <w:i w:val="0"/>
          <w:iCs w:val="0"/>
          <w:caps w:val="0"/>
          <w:color w:val="auto"/>
          <w:spacing w:val="0"/>
          <w:sz w:val="21"/>
          <w:szCs w:val="21"/>
          <w:shd w:val="clear" w:fill="FFFFFF"/>
          <w:lang w:val="en-US" w:eastAsia="zh-CN"/>
        </w:rPr>
        <w:t xml:space="preserve">                   </w:t>
      </w:r>
      <w:r>
        <w:rPr>
          <w:rFonts w:hint="eastAsia" w:ascii="宋体" w:hAnsi="宋体" w:eastAsia="宋体" w:cs="宋体"/>
          <w:b/>
          <w:bCs/>
          <w:i w:val="0"/>
          <w:iCs w:val="0"/>
          <w:caps w:val="0"/>
          <w:color w:val="auto"/>
          <w:spacing w:val="0"/>
          <w:sz w:val="21"/>
          <w:szCs w:val="21"/>
          <w:shd w:val="clear" w:fill="FFFFFF"/>
        </w:rPr>
        <w:t> 金额单位：万元</w:t>
      </w:r>
    </w:p>
    <w:tbl>
      <w:tblPr>
        <w:tblStyle w:val="3"/>
        <w:tblW w:w="8892"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926"/>
        <w:gridCol w:w="672"/>
        <w:gridCol w:w="1539"/>
        <w:gridCol w:w="1342"/>
        <w:gridCol w:w="726"/>
        <w:gridCol w:w="1361"/>
        <w:gridCol w:w="132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97" w:hRule="atLeast"/>
        </w:trPr>
        <w:tc>
          <w:tcPr>
            <w:tcW w:w="1083" w:type="pct"/>
            <w:vMerge w:val="restar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项目</w:t>
            </w:r>
          </w:p>
        </w:tc>
        <w:tc>
          <w:tcPr>
            <w:tcW w:w="1997" w:type="pct"/>
            <w:gridSpan w:val="3"/>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预算数</w:t>
            </w:r>
          </w:p>
        </w:tc>
        <w:tc>
          <w:tcPr>
            <w:tcW w:w="1918" w:type="pct"/>
            <w:gridSpan w:val="3"/>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决算数</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97" w:hRule="atLeast"/>
        </w:trPr>
        <w:tc>
          <w:tcPr>
            <w:tcW w:w="1083" w:type="pct"/>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rPr>
                <w:rFonts w:hint="default" w:ascii="Times New Roman" w:hAnsi="Times New Roman" w:cs="Times New Roman"/>
                <w:color w:val="auto"/>
                <w:sz w:val="20"/>
                <w:szCs w:val="20"/>
              </w:rPr>
            </w:pPr>
          </w:p>
        </w:tc>
        <w:tc>
          <w:tcPr>
            <w:tcW w:w="37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合计</w:t>
            </w:r>
          </w:p>
        </w:tc>
        <w:tc>
          <w:tcPr>
            <w:tcW w:w="8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一般公共预算</w:t>
            </w:r>
          </w:p>
        </w:tc>
        <w:tc>
          <w:tcPr>
            <w:tcW w:w="75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政府性基金</w:t>
            </w:r>
          </w:p>
        </w:tc>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合计</w:t>
            </w:r>
          </w:p>
        </w:tc>
        <w:tc>
          <w:tcPr>
            <w:tcW w:w="765"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一般公共预算</w:t>
            </w:r>
          </w:p>
        </w:tc>
        <w:tc>
          <w:tcPr>
            <w:tcW w:w="745"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政府性基金</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97" w:hRule="atLeast"/>
        </w:trPr>
        <w:tc>
          <w:tcPr>
            <w:tcW w:w="1083"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因公出国（境）费</w:t>
            </w:r>
          </w:p>
        </w:tc>
        <w:tc>
          <w:tcPr>
            <w:tcW w:w="37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8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52"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40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4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97" w:hRule="atLeast"/>
        </w:trPr>
        <w:tc>
          <w:tcPr>
            <w:tcW w:w="1083"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公务接待费</w:t>
            </w:r>
          </w:p>
        </w:tc>
        <w:tc>
          <w:tcPr>
            <w:tcW w:w="37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eastAsia="宋体" w:cs="Times New Roman"/>
                <w:b/>
                <w:bCs/>
                <w:color w:val="auto"/>
                <w:sz w:val="21"/>
                <w:szCs w:val="21"/>
              </w:rPr>
              <w:t>1.00</w:t>
            </w:r>
          </w:p>
        </w:tc>
        <w:tc>
          <w:tcPr>
            <w:tcW w:w="8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eastAsia="宋体" w:cs="Times New Roman"/>
                <w:b/>
                <w:bCs/>
                <w:color w:val="auto"/>
                <w:sz w:val="21"/>
                <w:szCs w:val="21"/>
              </w:rPr>
              <w:t>1.00</w:t>
            </w:r>
          </w:p>
        </w:tc>
        <w:tc>
          <w:tcPr>
            <w:tcW w:w="752"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40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eastAsia="宋体" w:cs="Times New Roman"/>
                <w:b/>
                <w:bCs/>
                <w:color w:val="auto"/>
                <w:sz w:val="21"/>
                <w:szCs w:val="21"/>
              </w:rPr>
              <w:t>0.39</w:t>
            </w:r>
          </w:p>
        </w:tc>
        <w:tc>
          <w:tcPr>
            <w:tcW w:w="7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eastAsia="宋体" w:cs="Times New Roman"/>
                <w:b/>
                <w:bCs/>
                <w:color w:val="auto"/>
                <w:sz w:val="21"/>
                <w:szCs w:val="21"/>
              </w:rPr>
              <w:t>0.39</w:t>
            </w:r>
          </w:p>
        </w:tc>
        <w:tc>
          <w:tcPr>
            <w:tcW w:w="74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7" w:hRule="atLeast"/>
        </w:trPr>
        <w:tc>
          <w:tcPr>
            <w:tcW w:w="1083"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公务用车购置及</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运行费</w:t>
            </w:r>
          </w:p>
        </w:tc>
        <w:tc>
          <w:tcPr>
            <w:tcW w:w="37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8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52"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40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4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7" w:hRule="atLeast"/>
        </w:trPr>
        <w:tc>
          <w:tcPr>
            <w:tcW w:w="1083"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其中：公务用车</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运行维护费</w:t>
            </w:r>
          </w:p>
        </w:tc>
        <w:tc>
          <w:tcPr>
            <w:tcW w:w="37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8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52"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40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4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7" w:hRule="atLeast"/>
        </w:trPr>
        <w:tc>
          <w:tcPr>
            <w:tcW w:w="1083"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公务用车购置费</w:t>
            </w:r>
          </w:p>
        </w:tc>
        <w:tc>
          <w:tcPr>
            <w:tcW w:w="37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8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52"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40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74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7" w:hRule="atLeast"/>
        </w:trPr>
        <w:tc>
          <w:tcPr>
            <w:tcW w:w="1083"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eastAsia" w:ascii="宋体" w:hAnsi="宋体" w:eastAsia="宋体" w:cs="宋体"/>
                <w:b/>
                <w:bCs/>
                <w:color w:val="auto"/>
                <w:sz w:val="21"/>
                <w:szCs w:val="21"/>
              </w:rPr>
              <w:t>总计</w:t>
            </w:r>
          </w:p>
        </w:tc>
        <w:tc>
          <w:tcPr>
            <w:tcW w:w="37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eastAsia="宋体" w:cs="Times New Roman"/>
                <w:b/>
                <w:bCs/>
                <w:color w:val="auto"/>
                <w:sz w:val="21"/>
                <w:szCs w:val="21"/>
              </w:rPr>
              <w:t>1.00</w:t>
            </w:r>
          </w:p>
        </w:tc>
        <w:tc>
          <w:tcPr>
            <w:tcW w:w="8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eastAsia="宋体" w:cs="Times New Roman"/>
                <w:b/>
                <w:bCs/>
                <w:color w:val="auto"/>
                <w:sz w:val="21"/>
                <w:szCs w:val="21"/>
              </w:rPr>
              <w:t>1.00</w:t>
            </w:r>
          </w:p>
        </w:tc>
        <w:tc>
          <w:tcPr>
            <w:tcW w:w="752"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c>
          <w:tcPr>
            <w:tcW w:w="408"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eastAsia="宋体" w:cs="Times New Roman"/>
                <w:b/>
                <w:bCs/>
                <w:color w:val="auto"/>
                <w:sz w:val="21"/>
                <w:szCs w:val="21"/>
              </w:rPr>
              <w:t>0.39</w:t>
            </w:r>
          </w:p>
        </w:tc>
        <w:tc>
          <w:tcPr>
            <w:tcW w:w="76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rFonts w:hint="default" w:ascii="Times New Roman" w:hAnsi="Times New Roman" w:cs="Times New Roman"/>
                <w:color w:val="auto"/>
                <w:sz w:val="32"/>
                <w:szCs w:val="32"/>
              </w:rPr>
            </w:pPr>
            <w:r>
              <w:rPr>
                <w:rFonts w:hint="default" w:ascii="Times New Roman" w:hAnsi="Times New Roman" w:eastAsia="宋体" w:cs="Times New Roman"/>
                <w:b/>
                <w:bCs/>
                <w:color w:val="auto"/>
                <w:sz w:val="21"/>
                <w:szCs w:val="21"/>
              </w:rPr>
              <w:t>0.39</w:t>
            </w:r>
          </w:p>
        </w:tc>
        <w:tc>
          <w:tcPr>
            <w:tcW w:w="745" w:type="pc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leftChars="0" w:right="0" w:rightChars="0"/>
              <w:jc w:val="center"/>
              <w:rPr>
                <w:rFonts w:hint="default" w:ascii="Times New Roman" w:hAnsi="Times New Roman" w:cs="Times New Roman"/>
                <w:color w:val="auto"/>
                <w:sz w:val="32"/>
                <w:szCs w:val="32"/>
              </w:rPr>
            </w:pPr>
            <w:r>
              <w:rPr>
                <w:rFonts w:hint="eastAsia" w:ascii="Times New Roman" w:hAnsi="Times New Roman" w:eastAsia="宋体" w:cs="Times New Roman"/>
                <w:b/>
                <w:bCs/>
                <w:color w:val="auto"/>
                <w:sz w:val="21"/>
                <w:szCs w:val="21"/>
                <w:lang w:val="en-US" w:eastAsia="zh-CN"/>
              </w:rPr>
              <w:t>0</w:t>
            </w:r>
            <w:r>
              <w:rPr>
                <w:rFonts w:hint="default" w:ascii="Times New Roman" w:hAnsi="Times New Roman" w:eastAsia="宋体" w:cs="Times New Roman"/>
                <w:b/>
                <w:bCs/>
                <w:color w:val="auto"/>
                <w:sz w:val="21"/>
                <w:szCs w:val="21"/>
              </w:rPr>
              <w:t>.00</w:t>
            </w:r>
            <w:r>
              <w:rPr>
                <w:rFonts w:hint="default" w:ascii="Times New Roman" w:hAnsi="Times New Roman" w:cs="Times New Roman"/>
                <w:color w:val="auto"/>
                <w:sz w:val="32"/>
                <w:szCs w:val="32"/>
              </w:rPr>
              <w:t> </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5" w:beforeAutospacing="0" w:after="0" w:afterAutospacing="0"/>
        <w:ind w:left="0" w:right="0" w:firstLine="0"/>
        <w:jc w:val="left"/>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21"/>
          <w:szCs w:val="21"/>
          <w:shd w:val="clear" w:fill="FFFFFF"/>
        </w:rPr>
        <w:t>注：本表反映部门本年度一般公共预算及政府性基金预算财政拨款“三公”经费支出预决算情况。其中，预算数为“三公”经费全年预算数，反映按规定程序调整后的预算数</w:t>
      </w:r>
      <w:r>
        <w:rPr>
          <w:rFonts w:hint="default" w:ascii="Times New Roman" w:hAnsi="Times New Roman" w:eastAsia="宋体" w:cs="Times New Roman"/>
          <w:b/>
          <w:bCs/>
          <w:i w:val="0"/>
          <w:iCs w:val="0"/>
          <w:caps w:val="0"/>
          <w:color w:val="auto"/>
          <w:spacing w:val="0"/>
          <w:sz w:val="21"/>
          <w:szCs w:val="21"/>
          <w:shd w:val="clear" w:fill="FFFFFF"/>
        </w:rPr>
        <w:t>;</w:t>
      </w:r>
      <w:r>
        <w:rPr>
          <w:rFonts w:hint="eastAsia" w:ascii="宋体" w:hAnsi="宋体" w:eastAsia="宋体" w:cs="宋体"/>
          <w:b/>
          <w:bCs/>
          <w:i w:val="0"/>
          <w:iCs w:val="0"/>
          <w:caps w:val="0"/>
          <w:color w:val="auto"/>
          <w:spacing w:val="0"/>
          <w:sz w:val="21"/>
          <w:szCs w:val="21"/>
          <w:shd w:val="clear" w:fill="FFFFFF"/>
        </w:rPr>
        <w:t>决算数是包括当年一般公共预算财政拨款和以前年度结转资金安排的实际支出。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黑体" w:hAnsi="宋体" w:eastAsia="黑体" w:cs="黑体"/>
          <w:b/>
          <w:bCs/>
          <w:i w:val="0"/>
          <w:iCs w:val="0"/>
          <w:caps w:val="0"/>
          <w:color w:val="auto"/>
          <w:spacing w:val="0"/>
          <w:sz w:val="32"/>
          <w:szCs w:val="32"/>
          <w:shd w:val="clear" w:fill="FFFFFF"/>
        </w:rPr>
        <w:t>二、</w:t>
      </w:r>
      <w:r>
        <w:rPr>
          <w:rFonts w:hint="default" w:ascii="Times New Roman" w:hAnsi="Times New Roman" w:eastAsia="黑体" w:cs="Times New Roman"/>
          <w:b/>
          <w:bCs/>
          <w:i w:val="0"/>
          <w:iCs w:val="0"/>
          <w:caps w:val="0"/>
          <w:color w:val="auto"/>
          <w:spacing w:val="0"/>
          <w:sz w:val="32"/>
          <w:szCs w:val="32"/>
          <w:shd w:val="clear" w:fill="FFFFFF"/>
        </w:rPr>
        <w:t>2024</w:t>
      </w:r>
      <w:r>
        <w:rPr>
          <w:rFonts w:hint="eastAsia" w:ascii="黑体" w:hAnsi="宋体" w:eastAsia="黑体" w:cs="黑体"/>
          <w:b/>
          <w:bCs/>
          <w:i w:val="0"/>
          <w:iCs w:val="0"/>
          <w:caps w:val="0"/>
          <w:color w:val="auto"/>
          <w:spacing w:val="0"/>
          <w:sz w:val="32"/>
          <w:szCs w:val="32"/>
          <w:shd w:val="clear" w:fill="FFFFFF"/>
        </w:rPr>
        <w:t>年度一般公共预算及政府性基金预算财政拨款“三公”经费支出决算情况说明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i w:val="0"/>
          <w:iCs w:val="0"/>
          <w:caps w:val="0"/>
          <w:color w:val="auto"/>
          <w:spacing w:val="0"/>
          <w:sz w:val="32"/>
          <w:szCs w:val="32"/>
          <w:shd w:val="clear" w:fill="FFFFFF"/>
        </w:rPr>
        <w:t>（一）</w:t>
      </w:r>
      <w:r>
        <w:rPr>
          <w:rFonts w:hint="eastAsia" w:ascii="宋体" w:hAnsi="宋体" w:eastAsia="宋体" w:cs="宋体"/>
          <w:b/>
          <w:bCs/>
          <w:i w:val="0"/>
          <w:iCs w:val="0"/>
          <w:caps w:val="0"/>
          <w:color w:val="auto"/>
          <w:spacing w:val="0"/>
          <w:sz w:val="32"/>
          <w:szCs w:val="32"/>
          <w:shd w:val="clear" w:fill="FFFFFF"/>
        </w:rPr>
        <w:t>一般公共预算及政府性基金预算财政拨款“三公”经费支出决算总体情况说明。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ascii="仿宋" w:hAnsi="仿宋" w:eastAsia="仿宋" w:cs="仿宋"/>
          <w:b/>
          <w:bCs/>
          <w:i w:val="0"/>
          <w:iCs w:val="0"/>
          <w:caps w:val="0"/>
          <w:color w:val="auto"/>
          <w:spacing w:val="-4"/>
          <w:sz w:val="32"/>
          <w:szCs w:val="32"/>
          <w:shd w:val="clear" w:fill="FFFFFF"/>
        </w:rPr>
        <w:t>肥东县红十字会</w:t>
      </w:r>
      <w:r>
        <w:rPr>
          <w:rFonts w:hint="eastAsia" w:ascii="宋体" w:hAnsi="宋体" w:eastAsia="宋体" w:cs="宋体"/>
          <w:b/>
          <w:bCs/>
          <w:i w:val="0"/>
          <w:iCs w:val="0"/>
          <w:caps w:val="0"/>
          <w:color w:val="auto"/>
          <w:spacing w:val="-4"/>
          <w:sz w:val="32"/>
          <w:szCs w:val="32"/>
          <w:shd w:val="clear" w:fill="FFFFFF"/>
        </w:rPr>
        <w:t>2024</w:t>
      </w:r>
      <w:r>
        <w:rPr>
          <w:rFonts w:hint="eastAsia" w:ascii="仿宋" w:hAnsi="仿宋" w:eastAsia="仿宋" w:cs="仿宋"/>
          <w:b/>
          <w:bCs/>
          <w:i w:val="0"/>
          <w:iCs w:val="0"/>
          <w:caps w:val="0"/>
          <w:color w:val="auto"/>
          <w:spacing w:val="-4"/>
          <w:sz w:val="32"/>
          <w:szCs w:val="32"/>
          <w:shd w:val="clear" w:fill="FFFFFF"/>
        </w:rPr>
        <w:t>年度一般公共预算及政府性基金预算财政拨款“三公”经费支出预算为</w:t>
      </w:r>
      <w:r>
        <w:rPr>
          <w:rFonts w:hint="eastAsia" w:ascii="宋体" w:hAnsi="宋体" w:eastAsia="宋体" w:cs="宋体"/>
          <w:b/>
          <w:bCs/>
          <w:i w:val="0"/>
          <w:iCs w:val="0"/>
          <w:caps w:val="0"/>
          <w:color w:val="auto"/>
          <w:spacing w:val="-4"/>
          <w:sz w:val="32"/>
          <w:szCs w:val="32"/>
          <w:shd w:val="clear" w:fill="FFFFFF"/>
        </w:rPr>
        <w:t>1.00</w:t>
      </w:r>
      <w:r>
        <w:rPr>
          <w:rFonts w:hint="eastAsia" w:ascii="仿宋" w:hAnsi="仿宋" w:eastAsia="仿宋" w:cs="仿宋"/>
          <w:b/>
          <w:bCs/>
          <w:i w:val="0"/>
          <w:iCs w:val="0"/>
          <w:caps w:val="0"/>
          <w:color w:val="auto"/>
          <w:spacing w:val="-4"/>
          <w:sz w:val="32"/>
          <w:szCs w:val="32"/>
          <w:shd w:val="clear" w:fill="FFFFFF"/>
        </w:rPr>
        <w:t>万元，支出决算为</w:t>
      </w:r>
      <w:r>
        <w:rPr>
          <w:rFonts w:hint="eastAsia" w:ascii="宋体" w:hAnsi="宋体" w:eastAsia="宋体" w:cs="宋体"/>
          <w:b/>
          <w:bCs/>
          <w:i w:val="0"/>
          <w:iCs w:val="0"/>
          <w:caps w:val="0"/>
          <w:color w:val="auto"/>
          <w:spacing w:val="-4"/>
          <w:sz w:val="32"/>
          <w:szCs w:val="32"/>
          <w:shd w:val="clear" w:fill="FFFFFF"/>
        </w:rPr>
        <w:t>0.39</w:t>
      </w:r>
      <w:r>
        <w:rPr>
          <w:rFonts w:hint="eastAsia" w:ascii="仿宋" w:hAnsi="仿宋" w:eastAsia="仿宋" w:cs="仿宋"/>
          <w:b/>
          <w:bCs/>
          <w:i w:val="0"/>
          <w:iCs w:val="0"/>
          <w:caps w:val="0"/>
          <w:color w:val="auto"/>
          <w:spacing w:val="-4"/>
          <w:sz w:val="32"/>
          <w:szCs w:val="32"/>
          <w:shd w:val="clear" w:fill="FFFFFF"/>
        </w:rPr>
        <w:t>万元，完成预算的</w:t>
      </w:r>
      <w:r>
        <w:rPr>
          <w:rFonts w:hint="eastAsia" w:ascii="宋体" w:hAnsi="宋体" w:eastAsia="宋体" w:cs="宋体"/>
          <w:b/>
          <w:bCs/>
          <w:i w:val="0"/>
          <w:iCs w:val="0"/>
          <w:caps w:val="0"/>
          <w:color w:val="auto"/>
          <w:spacing w:val="-4"/>
          <w:sz w:val="32"/>
          <w:szCs w:val="32"/>
          <w:shd w:val="clear" w:fill="FFFFFF"/>
        </w:rPr>
        <w:t>39.00%</w:t>
      </w:r>
      <w:r>
        <w:rPr>
          <w:rFonts w:hint="eastAsia" w:ascii="仿宋" w:hAnsi="仿宋" w:eastAsia="仿宋" w:cs="仿宋"/>
          <w:b/>
          <w:bCs/>
          <w:i w:val="0"/>
          <w:iCs w:val="0"/>
          <w:caps w:val="0"/>
          <w:color w:val="auto"/>
          <w:spacing w:val="-4"/>
          <w:sz w:val="32"/>
          <w:szCs w:val="32"/>
          <w:shd w:val="clear" w:fill="FFFFFF"/>
        </w:rPr>
        <w:t>，决算数小于预算数的主要原因是我单位坚持厉行节约，严格公务接待管理，限定接待人数。</w:t>
      </w:r>
      <w:r>
        <w:rPr>
          <w:rFonts w:hint="eastAsia" w:ascii="仿宋" w:hAnsi="仿宋" w:eastAsia="仿宋" w:cs="仿宋"/>
          <w:b/>
          <w:bCs/>
          <w:i w:val="0"/>
          <w:iCs w:val="0"/>
          <w:caps w:val="0"/>
          <w:color w:val="auto"/>
          <w:spacing w:val="-4"/>
          <w:sz w:val="32"/>
          <w:szCs w:val="32"/>
          <w:shd w:val="clear" w:fill="FFFFFF"/>
          <w:lang w:val="en-US" w:eastAsia="zh-CN"/>
        </w:rPr>
        <w:t>决算数较上年</w:t>
      </w:r>
      <w:r>
        <w:rPr>
          <w:rFonts w:hint="eastAsia" w:ascii="仿宋" w:hAnsi="仿宋" w:eastAsia="仿宋" w:cs="仿宋"/>
          <w:b/>
          <w:bCs/>
          <w:i w:val="0"/>
          <w:iCs w:val="0"/>
          <w:caps w:val="0"/>
          <w:color w:val="auto"/>
          <w:spacing w:val="-4"/>
          <w:sz w:val="32"/>
          <w:szCs w:val="32"/>
          <w:shd w:val="clear" w:fill="FFFFFF"/>
        </w:rPr>
        <w:t>持平</w:t>
      </w:r>
      <w:r>
        <w:rPr>
          <w:rFonts w:hint="eastAsia" w:ascii="仿宋" w:hAnsi="仿宋" w:eastAsia="仿宋" w:cs="仿宋"/>
          <w:b/>
          <w:bCs/>
          <w:i w:val="0"/>
          <w:iCs w:val="0"/>
          <w:caps w:val="0"/>
          <w:color w:val="auto"/>
          <w:spacing w:val="-4"/>
          <w:sz w:val="32"/>
          <w:szCs w:val="32"/>
          <w:shd w:val="clear" w:fill="FFFFFF"/>
        </w:rPr>
        <w:t>。持平的主要原因是与上年的接待任务基本相同。为全面反映“三公”经费支出，本次公布的“三公”经费决算为部门汇总数，包含单位本级和所属单位。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i w:val="0"/>
          <w:iCs w:val="0"/>
          <w:caps w:val="0"/>
          <w:color w:val="auto"/>
          <w:spacing w:val="0"/>
          <w:sz w:val="32"/>
          <w:szCs w:val="32"/>
          <w:shd w:val="clear" w:fill="FFFFFF"/>
        </w:rPr>
        <w:t>（二）</w:t>
      </w:r>
      <w:r>
        <w:rPr>
          <w:rFonts w:hint="eastAsia" w:ascii="宋体" w:hAnsi="宋体" w:eastAsia="宋体" w:cs="宋体"/>
          <w:b/>
          <w:bCs/>
          <w:i w:val="0"/>
          <w:iCs w:val="0"/>
          <w:caps w:val="0"/>
          <w:color w:val="auto"/>
          <w:spacing w:val="0"/>
          <w:sz w:val="32"/>
          <w:szCs w:val="32"/>
          <w:shd w:val="clear" w:fill="FFFFFF"/>
        </w:rPr>
        <w:t>一般公共预算及政府性基金预算财政拨款“三公”经费支出决算具体情况说明。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仿宋" w:hAnsi="仿宋" w:eastAsia="仿宋" w:cs="仿宋"/>
          <w:b/>
          <w:bCs/>
          <w:i w:val="0"/>
          <w:iCs w:val="0"/>
          <w:caps w:val="0"/>
          <w:color w:val="auto"/>
          <w:spacing w:val="0"/>
          <w:sz w:val="32"/>
          <w:szCs w:val="32"/>
          <w:shd w:val="clear" w:fill="FFFFFF"/>
        </w:rPr>
        <w:t>肥东县红十字会</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年度一般公共预算及政府性基金预算财政拨款“三公”经费支出决算中，因公出国（境）费支出决算</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公务接待费支出决算</w:t>
      </w:r>
      <w:r>
        <w:rPr>
          <w:rFonts w:hint="eastAsia" w:ascii="宋体" w:hAnsi="宋体" w:eastAsia="宋体" w:cs="宋体"/>
          <w:b/>
          <w:bCs/>
          <w:i w:val="0"/>
          <w:iCs w:val="0"/>
          <w:caps w:val="0"/>
          <w:color w:val="auto"/>
          <w:spacing w:val="0"/>
          <w:sz w:val="32"/>
          <w:szCs w:val="32"/>
          <w:shd w:val="clear" w:fill="FFFFFF"/>
        </w:rPr>
        <w:t>0.39</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；公务用车购置及运行维护费支出决算</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万元，占</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。具体情况如下：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1</w:t>
      </w:r>
      <w:r>
        <w:rPr>
          <w:rFonts w:hint="eastAsia" w:ascii="仿宋" w:hAnsi="仿宋" w:eastAsia="仿宋" w:cs="仿宋"/>
          <w:b/>
          <w:bCs/>
          <w:i w:val="0"/>
          <w:iCs w:val="0"/>
          <w:caps w:val="0"/>
          <w:color w:val="auto"/>
          <w:spacing w:val="0"/>
          <w:sz w:val="32"/>
          <w:szCs w:val="32"/>
          <w:shd w:val="clear" w:fill="FFFFFF"/>
        </w:rPr>
        <w:t>．因公出国（境）费预算为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万元，决算数持平预算数的主要原因是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年我单位没有因公出国（境）费支出预算安排，也没有实际发生因公出国（境）费支出。</w:t>
      </w:r>
      <w:r>
        <w:rPr>
          <w:rFonts w:hint="eastAsia" w:ascii="仿宋" w:hAnsi="仿宋" w:eastAsia="仿宋" w:cs="仿宋"/>
          <w:b/>
          <w:bCs/>
          <w:i w:val="0"/>
          <w:iCs w:val="0"/>
          <w:caps w:val="0"/>
          <w:color w:val="auto"/>
          <w:spacing w:val="0"/>
          <w:sz w:val="32"/>
          <w:szCs w:val="32"/>
          <w:shd w:val="clear" w:fill="FFFFFF"/>
          <w:lang w:val="en-US" w:eastAsia="zh-CN"/>
        </w:rPr>
        <w:t>决算数</w:t>
      </w:r>
      <w:r>
        <w:rPr>
          <w:rFonts w:hint="eastAsia" w:ascii="仿宋" w:hAnsi="仿宋" w:eastAsia="仿宋" w:cs="仿宋"/>
          <w:b/>
          <w:bCs/>
          <w:i w:val="0"/>
          <w:iCs w:val="0"/>
          <w:caps w:val="0"/>
          <w:color w:val="auto"/>
          <w:spacing w:val="0"/>
          <w:sz w:val="32"/>
          <w:szCs w:val="32"/>
          <w:shd w:val="clear" w:fill="FFFFFF"/>
        </w:rPr>
        <w:t>与上年持平，决算数与上年持平的主要原因是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年及上年我单位没有因公出国（境）费支出预算安排，也没有实际发生因公出国（境）费支出。</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年肥东县红十字会因公出国（境）团组</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次，累计出国（境）</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人次。该项经费根据市外办批准的因公临时出国（境）计划，按照规定标准安排。主要是用于职工因公出国（境）支出。经费使用严格按照《关于转发〈安徽省省直党政机关因公短期出国培训费用管理办法〉的通知》（合财行〔</w:t>
      </w:r>
      <w:r>
        <w:rPr>
          <w:rFonts w:hint="eastAsia" w:ascii="宋体" w:hAnsi="宋体" w:eastAsia="宋体" w:cs="宋体"/>
          <w:b/>
          <w:bCs/>
          <w:i w:val="0"/>
          <w:iCs w:val="0"/>
          <w:caps w:val="0"/>
          <w:color w:val="auto"/>
          <w:spacing w:val="0"/>
          <w:sz w:val="32"/>
          <w:szCs w:val="32"/>
          <w:shd w:val="clear" w:fill="FFFFFF"/>
        </w:rPr>
        <w:t>2014</w:t>
      </w:r>
      <w:r>
        <w:rPr>
          <w:rFonts w:hint="eastAsia" w:ascii="仿宋" w:hAnsi="仿宋" w:eastAsia="仿宋" w:cs="仿宋"/>
          <w:b/>
          <w:bCs/>
          <w:i w:val="0"/>
          <w:iCs w:val="0"/>
          <w:caps w:val="0"/>
          <w:color w:val="auto"/>
          <w:spacing w:val="0"/>
          <w:sz w:val="32"/>
          <w:szCs w:val="32"/>
          <w:shd w:val="clear" w:fill="FFFFFF"/>
        </w:rPr>
        <w:t>〕</w:t>
      </w:r>
      <w:r>
        <w:rPr>
          <w:rFonts w:hint="eastAsia" w:ascii="宋体" w:hAnsi="宋体" w:eastAsia="宋体" w:cs="宋体"/>
          <w:b/>
          <w:bCs/>
          <w:i w:val="0"/>
          <w:iCs w:val="0"/>
          <w:caps w:val="0"/>
          <w:color w:val="auto"/>
          <w:spacing w:val="0"/>
          <w:sz w:val="32"/>
          <w:szCs w:val="32"/>
          <w:shd w:val="clear" w:fill="FFFFFF"/>
        </w:rPr>
        <w:t>944</w:t>
      </w:r>
      <w:r>
        <w:rPr>
          <w:rFonts w:hint="eastAsia" w:ascii="仿宋" w:hAnsi="仿宋" w:eastAsia="仿宋" w:cs="仿宋"/>
          <w:b/>
          <w:bCs/>
          <w:i w:val="0"/>
          <w:iCs w:val="0"/>
          <w:caps w:val="0"/>
          <w:color w:val="auto"/>
          <w:spacing w:val="0"/>
          <w:sz w:val="32"/>
          <w:szCs w:val="32"/>
          <w:shd w:val="clear" w:fill="FFFFFF"/>
        </w:rPr>
        <w:t>号）等相关规定执行。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2</w:t>
      </w:r>
      <w:r>
        <w:rPr>
          <w:rFonts w:hint="eastAsia" w:ascii="仿宋" w:hAnsi="仿宋" w:eastAsia="仿宋" w:cs="仿宋"/>
          <w:b/>
          <w:bCs/>
          <w:i w:val="0"/>
          <w:iCs w:val="0"/>
          <w:caps w:val="0"/>
          <w:color w:val="auto"/>
          <w:spacing w:val="0"/>
          <w:sz w:val="32"/>
          <w:szCs w:val="32"/>
          <w:shd w:val="clear" w:fill="FFFFFF"/>
        </w:rPr>
        <w:t>．公务接待费预算为</w:t>
      </w:r>
      <w:r>
        <w:rPr>
          <w:rFonts w:hint="eastAsia" w:ascii="宋体" w:hAnsi="宋体" w:eastAsia="宋体" w:cs="宋体"/>
          <w:b/>
          <w:bCs/>
          <w:i w:val="0"/>
          <w:iCs w:val="0"/>
          <w:caps w:val="0"/>
          <w:color w:val="auto"/>
          <w:spacing w:val="0"/>
          <w:sz w:val="32"/>
          <w:szCs w:val="32"/>
          <w:shd w:val="clear" w:fill="FFFFFF"/>
        </w:rPr>
        <w:t>1.00</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0.39</w:t>
      </w:r>
      <w:r>
        <w:rPr>
          <w:rFonts w:hint="eastAsia" w:ascii="仿宋" w:hAnsi="仿宋" w:eastAsia="仿宋" w:cs="仿宋"/>
          <w:b/>
          <w:bCs/>
          <w:i w:val="0"/>
          <w:iCs w:val="0"/>
          <w:caps w:val="0"/>
          <w:color w:val="auto"/>
          <w:spacing w:val="0"/>
          <w:sz w:val="32"/>
          <w:szCs w:val="32"/>
          <w:shd w:val="clear" w:fill="FFFFFF"/>
        </w:rPr>
        <w:t>万元</w:t>
      </w:r>
      <w:r>
        <w:rPr>
          <w:rFonts w:hint="eastAsia" w:ascii="宋体" w:hAnsi="宋体" w:eastAsia="宋体" w:cs="宋体"/>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完成预算的</w:t>
      </w:r>
      <w:r>
        <w:rPr>
          <w:rFonts w:hint="eastAsia" w:ascii="宋体" w:hAnsi="宋体" w:eastAsia="宋体" w:cs="宋体"/>
          <w:b/>
          <w:bCs/>
          <w:i w:val="0"/>
          <w:iCs w:val="0"/>
          <w:caps w:val="0"/>
          <w:color w:val="auto"/>
          <w:spacing w:val="0"/>
          <w:sz w:val="32"/>
          <w:szCs w:val="32"/>
          <w:shd w:val="clear" w:fill="FFFFFF"/>
        </w:rPr>
        <w:t>39.00%</w:t>
      </w:r>
      <w:r>
        <w:rPr>
          <w:rFonts w:hint="eastAsia" w:ascii="仿宋" w:hAnsi="仿宋" w:eastAsia="仿宋" w:cs="仿宋"/>
          <w:b/>
          <w:bCs/>
          <w:i w:val="0"/>
          <w:iCs w:val="0"/>
          <w:caps w:val="0"/>
          <w:color w:val="auto"/>
          <w:spacing w:val="0"/>
          <w:sz w:val="32"/>
          <w:szCs w:val="32"/>
          <w:shd w:val="clear" w:fill="FFFFFF"/>
        </w:rPr>
        <w:t>，决算数小于预算数的主要原因是我单位坚持厉行节约，严格公务接待管理，限定接待人数。</w:t>
      </w:r>
      <w:r>
        <w:rPr>
          <w:rFonts w:hint="eastAsia" w:ascii="仿宋" w:hAnsi="仿宋" w:eastAsia="仿宋" w:cs="仿宋"/>
          <w:b/>
          <w:bCs/>
          <w:i w:val="0"/>
          <w:iCs w:val="0"/>
          <w:caps w:val="0"/>
          <w:color w:val="auto"/>
          <w:spacing w:val="0"/>
          <w:sz w:val="32"/>
          <w:szCs w:val="32"/>
          <w:shd w:val="clear" w:fill="FFFFFF"/>
          <w:lang w:val="en-US" w:eastAsia="zh-CN"/>
        </w:rPr>
        <w:t>决算数较上年</w:t>
      </w:r>
      <w:r>
        <w:rPr>
          <w:rFonts w:hint="eastAsia" w:ascii="仿宋" w:hAnsi="仿宋" w:eastAsia="仿宋" w:cs="仿宋"/>
          <w:b/>
          <w:bCs/>
          <w:i w:val="0"/>
          <w:iCs w:val="0"/>
          <w:caps w:val="0"/>
          <w:color w:val="auto"/>
          <w:spacing w:val="0"/>
          <w:sz w:val="32"/>
          <w:szCs w:val="32"/>
          <w:shd w:val="clear" w:fill="FFFFFF"/>
        </w:rPr>
        <w:t>相比持平</w:t>
      </w:r>
      <w:r>
        <w:rPr>
          <w:rFonts w:hint="eastAsia" w:ascii="仿宋" w:hAnsi="仿宋" w:eastAsia="仿宋" w:cs="仿宋"/>
          <w:b/>
          <w:bCs/>
          <w:i w:val="0"/>
          <w:iCs w:val="0"/>
          <w:caps w:val="0"/>
          <w:color w:val="auto"/>
          <w:spacing w:val="0"/>
          <w:sz w:val="32"/>
          <w:szCs w:val="32"/>
          <w:shd w:val="clear" w:fill="FFFFFF"/>
        </w:rPr>
        <w:t>。持平的主要原因是与上年的接待任务基本相同。</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年肥东县红十字会国内公务接待共</w:t>
      </w: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批次（其中外事接待</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批次），</w:t>
      </w:r>
      <w:r>
        <w:rPr>
          <w:rFonts w:hint="eastAsia" w:ascii="宋体" w:hAnsi="宋体" w:eastAsia="宋体" w:cs="宋体"/>
          <w:b/>
          <w:bCs/>
          <w:i w:val="0"/>
          <w:iCs w:val="0"/>
          <w:caps w:val="0"/>
          <w:color w:val="auto"/>
          <w:spacing w:val="0"/>
          <w:sz w:val="32"/>
          <w:szCs w:val="32"/>
          <w:shd w:val="clear" w:fill="FFFFFF"/>
        </w:rPr>
        <w:t>36</w:t>
      </w:r>
      <w:r>
        <w:rPr>
          <w:rFonts w:hint="eastAsia" w:ascii="仿宋" w:hAnsi="仿宋" w:eastAsia="仿宋" w:cs="仿宋"/>
          <w:b/>
          <w:bCs/>
          <w:i w:val="0"/>
          <w:iCs w:val="0"/>
          <w:caps w:val="0"/>
          <w:color w:val="auto"/>
          <w:spacing w:val="0"/>
          <w:sz w:val="32"/>
          <w:szCs w:val="32"/>
          <w:shd w:val="clear" w:fill="FFFFFF"/>
        </w:rPr>
        <w:t>人次（其中外事接待</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人次）（不包括陪同人员）。主要是用于接待上级业务指导、检查调研、以及外地单位来人交流学习等公务往来接待支出。经费使用严格执行《党政机关厉行节约反对浪费条例》等相关规定。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3"/>
        <w:jc w:val="both"/>
        <w:rPr>
          <w:rFonts w:hint="default" w:ascii="Times New Roman" w:hAnsi="Times New Roman" w:cs="Times New Roman"/>
          <w:i w:val="0"/>
          <w:iCs w:val="0"/>
          <w:caps w:val="0"/>
          <w:color w:val="auto"/>
          <w:spacing w:val="0"/>
          <w:sz w:val="32"/>
          <w:szCs w:val="32"/>
        </w:rPr>
      </w:pPr>
      <w:r>
        <w:rPr>
          <w:rFonts w:hint="eastAsia" w:ascii="宋体" w:hAnsi="宋体" w:eastAsia="宋体" w:cs="宋体"/>
          <w:b/>
          <w:bCs/>
          <w:i w:val="0"/>
          <w:iCs w:val="0"/>
          <w:caps w:val="0"/>
          <w:color w:val="auto"/>
          <w:spacing w:val="0"/>
          <w:sz w:val="32"/>
          <w:szCs w:val="32"/>
          <w:shd w:val="clear" w:fill="FFFFFF"/>
        </w:rPr>
        <w:t>3</w:t>
      </w:r>
      <w:r>
        <w:rPr>
          <w:rFonts w:hint="eastAsia" w:ascii="仿宋" w:hAnsi="仿宋" w:eastAsia="仿宋" w:cs="仿宋"/>
          <w:b/>
          <w:bCs/>
          <w:i w:val="0"/>
          <w:iCs w:val="0"/>
          <w:caps w:val="0"/>
          <w:color w:val="auto"/>
          <w:spacing w:val="0"/>
          <w:sz w:val="32"/>
          <w:szCs w:val="32"/>
          <w:shd w:val="clear" w:fill="FFFFFF"/>
        </w:rPr>
        <w:t>．公务用车购置及运行维护费预算为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万元，决算数持平预算数的主要原因是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年我单位没有公务用车购置及运行维护费支出预算安排，也没有实际发生公务用车购置及运行维护费支出。</w:t>
      </w:r>
      <w:r>
        <w:rPr>
          <w:rFonts w:hint="eastAsia" w:ascii="仿宋" w:hAnsi="仿宋" w:eastAsia="仿宋" w:cs="仿宋"/>
          <w:b/>
          <w:bCs/>
          <w:i w:val="0"/>
          <w:iCs w:val="0"/>
          <w:caps w:val="0"/>
          <w:color w:val="auto"/>
          <w:spacing w:val="0"/>
          <w:sz w:val="32"/>
          <w:szCs w:val="32"/>
          <w:shd w:val="clear" w:fill="FFFFFF"/>
          <w:lang w:val="en-US" w:eastAsia="zh-CN"/>
        </w:rPr>
        <w:t>决算数</w:t>
      </w:r>
      <w:r>
        <w:rPr>
          <w:rFonts w:hint="eastAsia" w:ascii="仿宋" w:hAnsi="仿宋" w:eastAsia="仿宋" w:cs="仿宋"/>
          <w:b/>
          <w:bCs/>
          <w:i w:val="0"/>
          <w:iCs w:val="0"/>
          <w:caps w:val="0"/>
          <w:color w:val="auto"/>
          <w:spacing w:val="0"/>
          <w:sz w:val="32"/>
          <w:szCs w:val="32"/>
          <w:shd w:val="clear" w:fill="FFFFFF"/>
        </w:rPr>
        <w:t>与上年持平，决算数与上年持平的主要原因是</w:t>
      </w:r>
      <w:r>
        <w:rPr>
          <w:rFonts w:hint="eastAsia" w:ascii="宋体" w:hAnsi="宋体" w:eastAsia="宋体" w:cs="宋体"/>
          <w:b/>
          <w:bCs/>
          <w:i w:val="0"/>
          <w:iCs w:val="0"/>
          <w:caps w:val="0"/>
          <w:color w:val="auto"/>
          <w:spacing w:val="0"/>
          <w:sz w:val="32"/>
          <w:szCs w:val="32"/>
          <w:shd w:val="clear" w:fill="FFFFFF"/>
        </w:rPr>
        <w:t>202</w:t>
      </w:r>
      <w:r>
        <w:rPr>
          <w:rFonts w:hint="eastAsia" w:ascii="宋体" w:hAnsi="宋体" w:eastAsia="宋体" w:cs="宋体"/>
          <w:b/>
          <w:bCs/>
          <w:i w:val="0"/>
          <w:iCs w:val="0"/>
          <w:caps w:val="0"/>
          <w:color w:val="auto"/>
          <w:spacing w:val="0"/>
          <w:sz w:val="32"/>
          <w:szCs w:val="32"/>
          <w:shd w:val="clear" w:fill="FFFFFF"/>
          <w:lang w:val="en-US" w:eastAsia="zh-CN"/>
        </w:rPr>
        <w:t>4</w:t>
      </w:r>
      <w:r>
        <w:rPr>
          <w:rFonts w:hint="eastAsia" w:ascii="仿宋" w:hAnsi="仿宋" w:eastAsia="仿宋" w:cs="仿宋"/>
          <w:b/>
          <w:bCs/>
          <w:i w:val="0"/>
          <w:iCs w:val="0"/>
          <w:caps w:val="0"/>
          <w:color w:val="auto"/>
          <w:spacing w:val="0"/>
          <w:sz w:val="32"/>
          <w:szCs w:val="32"/>
          <w:shd w:val="clear" w:fill="FFFFFF"/>
        </w:rPr>
        <w:t>年及上年我单位没有公务用车购置及运行维护费支出预算安排，也没有实际发生公务用车购置及运行维护费支出。其中，公务用车购置费预算为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万元，决算数持平预算数的主要原因是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年我单位没有公务用车购置费预算安排，也没有实际发生公务用车购置费支出。</w:t>
      </w:r>
      <w:r>
        <w:rPr>
          <w:rFonts w:hint="eastAsia" w:ascii="仿宋" w:hAnsi="仿宋" w:eastAsia="仿宋" w:cs="仿宋"/>
          <w:b/>
          <w:bCs/>
          <w:i w:val="0"/>
          <w:iCs w:val="0"/>
          <w:caps w:val="0"/>
          <w:color w:val="auto"/>
          <w:spacing w:val="0"/>
          <w:sz w:val="32"/>
          <w:szCs w:val="32"/>
          <w:shd w:val="clear" w:fill="FFFFFF"/>
          <w:lang w:val="en-US" w:eastAsia="zh-CN"/>
        </w:rPr>
        <w:t>决算数</w:t>
      </w:r>
      <w:r>
        <w:rPr>
          <w:rFonts w:hint="eastAsia" w:ascii="仿宋" w:hAnsi="仿宋" w:eastAsia="仿宋" w:cs="仿宋"/>
          <w:b/>
          <w:bCs/>
          <w:i w:val="0"/>
          <w:iCs w:val="0"/>
          <w:caps w:val="0"/>
          <w:color w:val="auto"/>
          <w:spacing w:val="0"/>
          <w:sz w:val="32"/>
          <w:szCs w:val="32"/>
          <w:shd w:val="clear" w:fill="FFFFFF"/>
        </w:rPr>
        <w:t>与上年</w:t>
      </w:r>
      <w:r>
        <w:rPr>
          <w:rFonts w:hint="eastAsia" w:ascii="仿宋" w:hAnsi="仿宋" w:eastAsia="仿宋" w:cs="仿宋"/>
          <w:b/>
          <w:bCs/>
          <w:i w:val="0"/>
          <w:iCs w:val="0"/>
          <w:caps w:val="0"/>
          <w:color w:val="auto"/>
          <w:spacing w:val="0"/>
          <w:sz w:val="32"/>
          <w:szCs w:val="32"/>
          <w:shd w:val="clear" w:fill="FFFFFF"/>
          <w:lang w:val="en-US" w:eastAsia="zh-CN"/>
        </w:rPr>
        <w:t>相比</w:t>
      </w:r>
      <w:r>
        <w:rPr>
          <w:rFonts w:hint="eastAsia" w:ascii="仿宋" w:hAnsi="仿宋" w:eastAsia="仿宋" w:cs="仿宋"/>
          <w:b/>
          <w:bCs/>
          <w:i w:val="0"/>
          <w:iCs w:val="0"/>
          <w:caps w:val="0"/>
          <w:color w:val="auto"/>
          <w:spacing w:val="0"/>
          <w:sz w:val="32"/>
          <w:szCs w:val="32"/>
          <w:shd w:val="clear" w:fill="FFFFFF"/>
        </w:rPr>
        <w:t>持平</w:t>
      </w:r>
      <w:r>
        <w:rPr>
          <w:rFonts w:hint="eastAsia" w:ascii="仿宋" w:hAnsi="仿宋" w:eastAsia="仿宋" w:cs="仿宋"/>
          <w:b/>
          <w:bCs/>
          <w:i w:val="0"/>
          <w:iCs w:val="0"/>
          <w:caps w:val="0"/>
          <w:color w:val="auto"/>
          <w:spacing w:val="0"/>
          <w:sz w:val="32"/>
          <w:szCs w:val="32"/>
          <w:shd w:val="clear" w:fill="FFFFFF"/>
        </w:rPr>
        <w:t>，决算数与上年持平的主要原因是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年及上年我单位没有公务用车购置费预算安排，也没有实际发生公务用车购置费支出。</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年没有安排公务用车购置费。公务用车运行维护费预算为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万元，支出决算为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万元，决算数持平预算数的主要原因是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年我单位没有公务用车运行维护费预算安排，也没有实际发生公务用车运行维护费支出。</w:t>
      </w:r>
      <w:r>
        <w:rPr>
          <w:rFonts w:hint="eastAsia" w:ascii="仿宋" w:hAnsi="仿宋" w:eastAsia="仿宋" w:cs="仿宋"/>
          <w:b/>
          <w:bCs/>
          <w:i w:val="0"/>
          <w:iCs w:val="0"/>
          <w:caps w:val="0"/>
          <w:color w:val="auto"/>
          <w:spacing w:val="0"/>
          <w:sz w:val="32"/>
          <w:szCs w:val="32"/>
          <w:shd w:val="clear" w:fill="FFFFFF"/>
          <w:lang w:val="en-US" w:eastAsia="zh-CN"/>
        </w:rPr>
        <w:t>决算数</w:t>
      </w:r>
      <w:r>
        <w:rPr>
          <w:rFonts w:hint="eastAsia" w:ascii="仿宋" w:hAnsi="仿宋" w:eastAsia="仿宋" w:cs="仿宋"/>
          <w:b/>
          <w:bCs/>
          <w:i w:val="0"/>
          <w:iCs w:val="0"/>
          <w:caps w:val="0"/>
          <w:color w:val="auto"/>
          <w:spacing w:val="0"/>
          <w:sz w:val="32"/>
          <w:szCs w:val="32"/>
          <w:shd w:val="clear" w:fill="FFFFFF"/>
        </w:rPr>
        <w:t>与上年</w:t>
      </w:r>
      <w:r>
        <w:rPr>
          <w:rFonts w:hint="eastAsia" w:ascii="仿宋" w:hAnsi="仿宋" w:eastAsia="仿宋" w:cs="仿宋"/>
          <w:b/>
          <w:bCs/>
          <w:i w:val="0"/>
          <w:iCs w:val="0"/>
          <w:caps w:val="0"/>
          <w:color w:val="auto"/>
          <w:spacing w:val="0"/>
          <w:sz w:val="32"/>
          <w:szCs w:val="32"/>
          <w:shd w:val="clear" w:fill="FFFFFF"/>
          <w:lang w:val="en-US" w:eastAsia="zh-CN"/>
        </w:rPr>
        <w:t>相比</w:t>
      </w:r>
      <w:r>
        <w:rPr>
          <w:rFonts w:hint="eastAsia" w:ascii="仿宋" w:hAnsi="仿宋" w:eastAsia="仿宋" w:cs="仿宋"/>
          <w:b/>
          <w:bCs/>
          <w:i w:val="0"/>
          <w:iCs w:val="0"/>
          <w:caps w:val="0"/>
          <w:color w:val="auto"/>
          <w:spacing w:val="0"/>
          <w:sz w:val="32"/>
          <w:szCs w:val="32"/>
          <w:shd w:val="clear" w:fill="FFFFFF"/>
        </w:rPr>
        <w:t>持平</w:t>
      </w:r>
      <w:r>
        <w:rPr>
          <w:rFonts w:hint="eastAsia" w:ascii="仿宋" w:hAnsi="仿宋" w:eastAsia="仿宋" w:cs="仿宋"/>
          <w:b/>
          <w:bCs/>
          <w:i w:val="0"/>
          <w:iCs w:val="0"/>
          <w:caps w:val="0"/>
          <w:color w:val="auto"/>
          <w:spacing w:val="0"/>
          <w:sz w:val="32"/>
          <w:szCs w:val="32"/>
          <w:shd w:val="clear" w:fill="FFFFFF"/>
        </w:rPr>
        <w:t>，决算数与上年持平的主要原因是</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及上年我单位没有公务用车运行维护费预算安排，也没有实际发生公务用车运行维护费支出。公务用车运行维护费，包括车辆燃料费、维修费、过路过桥费、保险费等支出，主要用于外出办理公务事项所需车辆的燃料费、维修费、过路过桥费、保险费等。截至</w:t>
      </w:r>
      <w:r>
        <w:rPr>
          <w:rFonts w:hint="eastAsia" w:ascii="宋体" w:hAnsi="宋体" w:eastAsia="宋体" w:cs="宋体"/>
          <w:b/>
          <w:bCs/>
          <w:i w:val="0"/>
          <w:iCs w:val="0"/>
          <w:caps w:val="0"/>
          <w:color w:val="auto"/>
          <w:spacing w:val="0"/>
          <w:sz w:val="32"/>
          <w:szCs w:val="32"/>
          <w:shd w:val="clear" w:fill="FFFFFF"/>
        </w:rPr>
        <w:t>2024</w:t>
      </w:r>
      <w:r>
        <w:rPr>
          <w:rFonts w:hint="eastAsia" w:ascii="仿宋" w:hAnsi="仿宋" w:eastAsia="仿宋" w:cs="仿宋"/>
          <w:b/>
          <w:bCs/>
          <w:i w:val="0"/>
          <w:iCs w:val="0"/>
          <w:caps w:val="0"/>
          <w:color w:val="auto"/>
          <w:spacing w:val="0"/>
          <w:sz w:val="32"/>
          <w:szCs w:val="32"/>
          <w:shd w:val="clear" w:fill="FFFFFF"/>
        </w:rPr>
        <w:t>年</w:t>
      </w:r>
      <w:r>
        <w:rPr>
          <w:rFonts w:hint="eastAsia" w:ascii="宋体" w:hAnsi="宋体" w:eastAsia="宋体" w:cs="宋体"/>
          <w:b/>
          <w:bCs/>
          <w:i w:val="0"/>
          <w:iCs w:val="0"/>
          <w:caps w:val="0"/>
          <w:color w:val="auto"/>
          <w:spacing w:val="0"/>
          <w:sz w:val="32"/>
          <w:szCs w:val="32"/>
          <w:shd w:val="clear" w:fill="FFFFFF"/>
        </w:rPr>
        <w:t>12</w:t>
      </w:r>
      <w:r>
        <w:rPr>
          <w:rFonts w:hint="eastAsia" w:ascii="仿宋" w:hAnsi="仿宋" w:eastAsia="仿宋" w:cs="仿宋"/>
          <w:b/>
          <w:bCs/>
          <w:i w:val="0"/>
          <w:iCs w:val="0"/>
          <w:caps w:val="0"/>
          <w:color w:val="auto"/>
          <w:spacing w:val="0"/>
          <w:sz w:val="32"/>
          <w:szCs w:val="32"/>
          <w:shd w:val="clear" w:fill="FFFFFF"/>
        </w:rPr>
        <w:t>月</w:t>
      </w:r>
      <w:r>
        <w:rPr>
          <w:rFonts w:hint="eastAsia" w:ascii="宋体" w:hAnsi="宋体" w:eastAsia="宋体" w:cs="宋体"/>
          <w:b/>
          <w:bCs/>
          <w:i w:val="0"/>
          <w:iCs w:val="0"/>
          <w:caps w:val="0"/>
          <w:color w:val="auto"/>
          <w:spacing w:val="0"/>
          <w:sz w:val="32"/>
          <w:szCs w:val="32"/>
          <w:shd w:val="clear" w:fill="FFFFFF"/>
        </w:rPr>
        <w:t>31</w:t>
      </w:r>
      <w:r>
        <w:rPr>
          <w:rFonts w:hint="eastAsia" w:ascii="仿宋" w:hAnsi="仿宋" w:eastAsia="仿宋" w:cs="仿宋"/>
          <w:b/>
          <w:bCs/>
          <w:i w:val="0"/>
          <w:iCs w:val="0"/>
          <w:caps w:val="0"/>
          <w:color w:val="auto"/>
          <w:spacing w:val="0"/>
          <w:sz w:val="32"/>
          <w:szCs w:val="32"/>
          <w:shd w:val="clear" w:fill="FFFFFF"/>
        </w:rPr>
        <w:t>日，肥东县红十字会机关及所属单位开支一般公共预算财政拨款的公务用车保有量为</w:t>
      </w:r>
      <w:r>
        <w:rPr>
          <w:rFonts w:hint="eastAsia" w:ascii="宋体" w:hAnsi="宋体" w:eastAsia="宋体" w:cs="宋体"/>
          <w:b/>
          <w:bCs/>
          <w:i w:val="0"/>
          <w:iCs w:val="0"/>
          <w:caps w:val="0"/>
          <w:color w:val="auto"/>
          <w:spacing w:val="0"/>
          <w:sz w:val="32"/>
          <w:szCs w:val="32"/>
          <w:shd w:val="clear" w:fill="FFFFFF"/>
        </w:rPr>
        <w:t>0</w:t>
      </w:r>
      <w:r>
        <w:rPr>
          <w:rFonts w:hint="eastAsia" w:ascii="仿宋" w:hAnsi="仿宋" w:eastAsia="仿宋" w:cs="仿宋"/>
          <w:b/>
          <w:bCs/>
          <w:i w:val="0"/>
          <w:iCs w:val="0"/>
          <w:caps w:val="0"/>
          <w:color w:val="auto"/>
          <w:spacing w:val="0"/>
          <w:sz w:val="32"/>
          <w:szCs w:val="32"/>
          <w:shd w:val="clear" w:fill="FFFFFF"/>
        </w:rPr>
        <w:t>辆。</w:t>
      </w:r>
    </w:p>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iYjg1NjFjOWE3MjQyY2ZjOTUwMWY0ZjJkYTE3NmEifQ=="/>
  </w:docVars>
  <w:rsids>
    <w:rsidRoot w:val="215924C9"/>
    <w:rsid w:val="1A4D6C2B"/>
    <w:rsid w:val="215924C9"/>
    <w:rsid w:val="496941FF"/>
    <w:rsid w:val="4B542D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1813</Words>
  <Characters>2011</Characters>
  <Lines>0</Lines>
  <Paragraphs>0</Paragraphs>
  <TotalTime>2</TotalTime>
  <ScaleCrop>false</ScaleCrop>
  <LinksUpToDate>false</LinksUpToDate>
  <CharactersWithSpaces>2069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2025-09-16T06:38:00Z</dcterms:created>
  <dc:creator>独自闲行独自吟</dc:creator>
  <cp:lastModifiedBy>悠然</cp:lastModifiedBy>
  <dcterms:modified xsi:type="dcterms:W3CDTF">2025-10-09T00:27:04Z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B87CC50BF84248BA959B42DE483CA6F8_11</vt:lpwstr>
  </property>
  <property fmtid="{D5CDD505-2E9C-101B-9397-08002B2CF9AE}" pid="4" name="KSOTemplateDocerSaveRecord">
    <vt:lpwstr>eyJoZGlkIjoiNGFkNGIyMTViZWVkYzU0ODMyNWQ1NzhjNDJmYzBkYTgiLCJ1c2VySWQiOiI0MjcyNjQzMTIifQ==</vt:lpwstr>
  </property>
</Properties>
</file>