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4724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008" w:type="dxa"/>
            <w:gridSpan w:val="3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lang w:val="en-US" w:eastAsia="zh-CN" w:bidi="ar"/>
              </w:rPr>
              <w:t>2018年第</w:t>
            </w:r>
            <w:r>
              <w:rPr>
                <w:rStyle w:val="5"/>
                <w:lang w:val="en-US" w:eastAsia="zh-CN" w:bidi="ar"/>
              </w:rPr>
              <w:t>3</w:t>
            </w:r>
            <w:r>
              <w:rPr>
                <w:rStyle w:val="4"/>
                <w:lang w:val="en-US" w:eastAsia="zh-CN" w:bidi="ar"/>
              </w:rPr>
              <w:t>季度住院患者单病种平均费用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08" w:type="dxa"/>
            <w:gridSpan w:val="3"/>
            <w:vMerge w:val="restart"/>
            <w:tcBorders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08" w:type="dxa"/>
            <w:gridSpan w:val="3"/>
            <w:vMerge w:val="continue"/>
            <w:tcBorders>
              <w:bottom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疾病名称（按ICD编码分类）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头位顺产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高血压3级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胃恶性肿瘤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胆囊结石伴有急性胆囊炎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3056.78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混合痔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包皮过长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前列腺增生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腹股沟斜疝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正常妊娠监督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颅内损伤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输尿管结石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6950.61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沐澜</cp:lastModifiedBy>
  <dcterms:modified xsi:type="dcterms:W3CDTF">2018-11-02T00:40:10Z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